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811" w:rsidRDefault="00B20811"/>
    <w:p w:rsidR="00B20811" w:rsidRDefault="00B20811"/>
    <w:p w:rsidR="00B20811" w:rsidRDefault="00B20811">
      <w:pPr>
        <w:spacing w:before="960"/>
        <w:jc w:val="center"/>
        <w:rPr>
          <w:b/>
          <w:bCs/>
          <w:sz w:val="32"/>
          <w:szCs w:val="32"/>
        </w:rPr>
      </w:pPr>
      <w:r>
        <w:rPr>
          <w:b/>
          <w:bCs/>
          <w:sz w:val="32"/>
          <w:szCs w:val="32"/>
        </w:rPr>
        <w:t>Е Ж Е К В А Р Т А Л Ь Н Ы Й  О Т Ч Е Т</w:t>
      </w:r>
    </w:p>
    <w:p w:rsidR="00B20811" w:rsidRDefault="00B20811">
      <w:pPr>
        <w:spacing w:before="600"/>
        <w:jc w:val="center"/>
        <w:rPr>
          <w:b/>
          <w:bCs/>
          <w:i/>
          <w:iCs/>
          <w:sz w:val="32"/>
          <w:szCs w:val="32"/>
        </w:rPr>
      </w:pPr>
      <w:r>
        <w:rPr>
          <w:b/>
          <w:bCs/>
          <w:i/>
          <w:iCs/>
          <w:sz w:val="32"/>
          <w:szCs w:val="32"/>
        </w:rPr>
        <w:t>Общество с ограниченной ответственностью "Далур-Финанс"</w:t>
      </w:r>
    </w:p>
    <w:p w:rsidR="00B20811" w:rsidRDefault="00B20811">
      <w:pPr>
        <w:spacing w:before="120"/>
        <w:jc w:val="center"/>
        <w:rPr>
          <w:b/>
          <w:bCs/>
          <w:i/>
          <w:iCs/>
          <w:sz w:val="28"/>
          <w:szCs w:val="28"/>
        </w:rPr>
      </w:pPr>
      <w:r>
        <w:rPr>
          <w:b/>
          <w:bCs/>
          <w:i/>
          <w:iCs/>
          <w:sz w:val="28"/>
          <w:szCs w:val="28"/>
        </w:rPr>
        <w:t>Код эмитента: 36315-R</w:t>
      </w:r>
    </w:p>
    <w:p w:rsidR="00B20811" w:rsidRDefault="00B20811">
      <w:pPr>
        <w:spacing w:before="360"/>
        <w:jc w:val="center"/>
        <w:rPr>
          <w:b/>
          <w:bCs/>
          <w:sz w:val="32"/>
          <w:szCs w:val="32"/>
        </w:rPr>
      </w:pPr>
      <w:r>
        <w:rPr>
          <w:b/>
          <w:bCs/>
          <w:sz w:val="32"/>
          <w:szCs w:val="32"/>
        </w:rPr>
        <w:t>за 2 квартал 2010 г</w:t>
      </w:r>
    </w:p>
    <w:p w:rsidR="00B20811" w:rsidRDefault="00B20811">
      <w:pPr>
        <w:spacing w:before="840"/>
        <w:rPr>
          <w:sz w:val="24"/>
          <w:szCs w:val="24"/>
        </w:rPr>
      </w:pPr>
      <w:r>
        <w:rPr>
          <w:sz w:val="24"/>
          <w:szCs w:val="24"/>
        </w:rPr>
        <w:t>Место нахождения эмитента:</w:t>
      </w:r>
      <w:r>
        <w:rPr>
          <w:b/>
          <w:bCs/>
          <w:sz w:val="24"/>
          <w:szCs w:val="24"/>
        </w:rPr>
        <w:t xml:space="preserve"> 641730 Россия, Курганская обл., г.Далматово,, Рукманиса 27</w:t>
      </w:r>
    </w:p>
    <w:p w:rsidR="00B20811" w:rsidRDefault="00B20811">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B20811" w:rsidRDefault="00B20811"/>
    <w:tbl>
      <w:tblPr>
        <w:tblW w:w="0" w:type="auto"/>
        <w:tblLayout w:type="fixed"/>
        <w:tblCellMar>
          <w:left w:w="72" w:type="dxa"/>
          <w:right w:w="72" w:type="dxa"/>
        </w:tblCellMar>
        <w:tblLook w:val="0000"/>
      </w:tblPr>
      <w:tblGrid>
        <w:gridCol w:w="5572"/>
        <w:gridCol w:w="3680"/>
      </w:tblGrid>
      <w:tr w:rsidR="00B20811" w:rsidRPr="00C76478">
        <w:tc>
          <w:tcPr>
            <w:tcW w:w="5572" w:type="dxa"/>
            <w:tcBorders>
              <w:top w:val="single" w:sz="6" w:space="0" w:color="auto"/>
              <w:left w:val="single" w:sz="6" w:space="0" w:color="auto"/>
              <w:bottom w:val="nil"/>
              <w:right w:val="nil"/>
            </w:tcBorders>
          </w:tcPr>
          <w:p w:rsidR="00B20811" w:rsidRPr="00C76478" w:rsidRDefault="00B20811">
            <w:pPr>
              <w:spacing w:before="200"/>
              <w:rPr>
                <w:rFonts w:eastAsiaTheme="minorEastAsia"/>
              </w:rPr>
            </w:pPr>
            <w:r w:rsidRPr="00C76478">
              <w:rPr>
                <w:rFonts w:eastAsiaTheme="minorEastAsia"/>
              </w:rPr>
              <w:t>Генеральный директор</w:t>
            </w:r>
          </w:p>
          <w:p w:rsidR="00B20811" w:rsidRPr="00C76478" w:rsidRDefault="00B20811" w:rsidP="00674AB8">
            <w:pPr>
              <w:spacing w:before="200"/>
              <w:rPr>
                <w:rFonts w:eastAsiaTheme="minorEastAsia"/>
              </w:rPr>
            </w:pPr>
            <w:r w:rsidRPr="00C76478">
              <w:rPr>
                <w:rFonts w:eastAsiaTheme="minorEastAsia"/>
              </w:rPr>
              <w:t>Дата: 1</w:t>
            </w:r>
            <w:r w:rsidR="00674AB8">
              <w:rPr>
                <w:rFonts w:eastAsiaTheme="minorEastAsia"/>
              </w:rPr>
              <w:t>3</w:t>
            </w:r>
            <w:r w:rsidRPr="00C76478">
              <w:rPr>
                <w:rFonts w:eastAsiaTheme="minorEastAsia"/>
              </w:rPr>
              <w:t xml:space="preserve"> августа 2010 г.</w:t>
            </w:r>
          </w:p>
        </w:tc>
        <w:tc>
          <w:tcPr>
            <w:tcW w:w="3680" w:type="dxa"/>
            <w:tcBorders>
              <w:top w:val="single" w:sz="6" w:space="0" w:color="auto"/>
              <w:left w:val="nil"/>
              <w:bottom w:val="nil"/>
              <w:right w:val="single" w:sz="6" w:space="0" w:color="auto"/>
            </w:tcBorders>
          </w:tcPr>
          <w:p w:rsidR="00B20811" w:rsidRPr="00C76478" w:rsidRDefault="00B20811">
            <w:pPr>
              <w:spacing w:before="200"/>
              <w:rPr>
                <w:rFonts w:eastAsiaTheme="minorEastAsia"/>
              </w:rPr>
            </w:pPr>
          </w:p>
          <w:p w:rsidR="00B20811" w:rsidRPr="00C76478" w:rsidRDefault="00B20811">
            <w:pPr>
              <w:spacing w:before="200" w:after="200"/>
              <w:jc w:val="center"/>
              <w:rPr>
                <w:rFonts w:eastAsiaTheme="minorEastAsia"/>
                <w:sz w:val="24"/>
                <w:szCs w:val="24"/>
              </w:rPr>
            </w:pPr>
            <w:r w:rsidRPr="00C76478">
              <w:rPr>
                <w:rFonts w:eastAsiaTheme="minorEastAsia"/>
                <w:sz w:val="24"/>
                <w:szCs w:val="24"/>
              </w:rPr>
              <w:t>____________ Сергей Александрович Семёнов</w:t>
            </w:r>
            <w:r w:rsidRPr="00C76478">
              <w:rPr>
                <w:rFonts w:eastAsiaTheme="minorEastAsia"/>
                <w:sz w:val="24"/>
                <w:szCs w:val="24"/>
              </w:rPr>
              <w:br/>
              <w:t>подпись</w:t>
            </w:r>
          </w:p>
        </w:tc>
      </w:tr>
      <w:tr w:rsidR="00B20811" w:rsidRPr="00C76478">
        <w:tc>
          <w:tcPr>
            <w:tcW w:w="5572" w:type="dxa"/>
            <w:tcBorders>
              <w:top w:val="nil"/>
              <w:left w:val="single" w:sz="6" w:space="0" w:color="auto"/>
              <w:bottom w:val="single" w:sz="6" w:space="0" w:color="auto"/>
              <w:right w:val="nil"/>
            </w:tcBorders>
          </w:tcPr>
          <w:p w:rsidR="00B20811" w:rsidRPr="00C76478" w:rsidRDefault="00B20811">
            <w:pPr>
              <w:spacing w:before="200"/>
              <w:rPr>
                <w:rFonts w:eastAsiaTheme="minorEastAsia"/>
              </w:rPr>
            </w:pPr>
            <w:r w:rsidRPr="00C76478">
              <w:rPr>
                <w:rFonts w:eastAsiaTheme="minorEastAsia"/>
              </w:rPr>
              <w:t>Главный бухгалтер</w:t>
            </w:r>
          </w:p>
          <w:p w:rsidR="00B20811" w:rsidRPr="00C76478" w:rsidRDefault="00B20811" w:rsidP="00674AB8">
            <w:pPr>
              <w:spacing w:before="200"/>
              <w:rPr>
                <w:rFonts w:eastAsiaTheme="minorEastAsia"/>
              </w:rPr>
            </w:pPr>
            <w:r w:rsidRPr="00C76478">
              <w:rPr>
                <w:rFonts w:eastAsiaTheme="minorEastAsia"/>
              </w:rPr>
              <w:t>Дата: 1</w:t>
            </w:r>
            <w:r w:rsidR="00674AB8">
              <w:rPr>
                <w:rFonts w:eastAsiaTheme="minorEastAsia"/>
              </w:rPr>
              <w:t>3</w:t>
            </w:r>
            <w:r w:rsidRPr="00C76478">
              <w:rPr>
                <w:rFonts w:eastAsiaTheme="minorEastAsia"/>
              </w:rPr>
              <w:t xml:space="preserve"> августа 2010 г.</w:t>
            </w:r>
          </w:p>
        </w:tc>
        <w:tc>
          <w:tcPr>
            <w:tcW w:w="3680" w:type="dxa"/>
            <w:tcBorders>
              <w:top w:val="nil"/>
              <w:left w:val="nil"/>
              <w:bottom w:val="single" w:sz="6" w:space="0" w:color="auto"/>
              <w:right w:val="single" w:sz="6" w:space="0" w:color="auto"/>
            </w:tcBorders>
          </w:tcPr>
          <w:p w:rsidR="00B20811" w:rsidRPr="00C76478" w:rsidRDefault="00B20811">
            <w:pPr>
              <w:spacing w:before="200"/>
              <w:rPr>
                <w:rFonts w:eastAsiaTheme="minorEastAsia"/>
              </w:rPr>
            </w:pPr>
          </w:p>
          <w:p w:rsidR="00B20811" w:rsidRPr="00C76478" w:rsidRDefault="00B20811">
            <w:pPr>
              <w:spacing w:before="200" w:after="200"/>
              <w:jc w:val="center"/>
              <w:rPr>
                <w:rFonts w:eastAsiaTheme="minorEastAsia"/>
                <w:sz w:val="24"/>
                <w:szCs w:val="24"/>
              </w:rPr>
            </w:pPr>
            <w:r w:rsidRPr="00C76478">
              <w:rPr>
                <w:rFonts w:eastAsiaTheme="minorEastAsia"/>
                <w:sz w:val="24"/>
                <w:szCs w:val="24"/>
              </w:rPr>
              <w:t>____________ Валентина Степановна Воронина</w:t>
            </w:r>
            <w:r w:rsidRPr="00C76478">
              <w:rPr>
                <w:rFonts w:eastAsiaTheme="minorEastAsia"/>
                <w:sz w:val="24"/>
                <w:szCs w:val="24"/>
              </w:rPr>
              <w:br/>
              <w:t>подпись</w:t>
            </w:r>
          </w:p>
        </w:tc>
      </w:tr>
    </w:tbl>
    <w:p w:rsidR="00B20811" w:rsidRDefault="00B20811"/>
    <w:p w:rsidR="00B20811" w:rsidRDefault="00B20811"/>
    <w:tbl>
      <w:tblPr>
        <w:tblW w:w="0" w:type="auto"/>
        <w:tblLayout w:type="fixed"/>
        <w:tblCellMar>
          <w:left w:w="72" w:type="dxa"/>
          <w:right w:w="72" w:type="dxa"/>
        </w:tblCellMar>
        <w:tblLook w:val="0000"/>
      </w:tblPr>
      <w:tblGrid>
        <w:gridCol w:w="9252"/>
        <w:gridCol w:w="360"/>
      </w:tblGrid>
      <w:tr w:rsidR="00B20811" w:rsidRPr="00C76478">
        <w:tc>
          <w:tcPr>
            <w:tcW w:w="9252" w:type="dxa"/>
            <w:tcBorders>
              <w:top w:val="single" w:sz="6" w:space="0" w:color="auto"/>
              <w:left w:val="single" w:sz="6" w:space="0" w:color="auto"/>
              <w:bottom w:val="single" w:sz="6" w:space="0" w:color="auto"/>
              <w:right w:val="single" w:sz="6" w:space="0" w:color="auto"/>
            </w:tcBorders>
          </w:tcPr>
          <w:p w:rsidR="00B20811" w:rsidRPr="00C76478" w:rsidRDefault="00B20811">
            <w:pPr>
              <w:spacing w:before="40"/>
              <w:rPr>
                <w:rFonts w:eastAsiaTheme="minorEastAsia"/>
              </w:rPr>
            </w:pPr>
            <w:r w:rsidRPr="00C76478">
              <w:rPr>
                <w:rFonts w:eastAsiaTheme="minorEastAsia"/>
              </w:rPr>
              <w:t>Контактное лицо:</w:t>
            </w:r>
            <w:r w:rsidRPr="00C76478">
              <w:rPr>
                <w:rFonts w:eastAsiaTheme="minorEastAsia"/>
                <w:b/>
                <w:bCs/>
              </w:rPr>
              <w:t xml:space="preserve"> Семёнов Сергей Александрович, Генеральный директор</w:t>
            </w:r>
          </w:p>
          <w:p w:rsidR="00B20811" w:rsidRPr="00C76478" w:rsidRDefault="00B20811">
            <w:pPr>
              <w:spacing w:before="40"/>
              <w:rPr>
                <w:rFonts w:eastAsiaTheme="minorEastAsia"/>
              </w:rPr>
            </w:pPr>
            <w:r w:rsidRPr="00C76478">
              <w:rPr>
                <w:rFonts w:eastAsiaTheme="minorEastAsia"/>
              </w:rPr>
              <w:t>Телефон:</w:t>
            </w:r>
            <w:r w:rsidRPr="00C76478">
              <w:rPr>
                <w:rFonts w:eastAsiaTheme="minorEastAsia"/>
                <w:b/>
                <w:bCs/>
              </w:rPr>
              <w:t xml:space="preserve"> (3522) 60-00-39</w:t>
            </w:r>
          </w:p>
          <w:p w:rsidR="00B20811" w:rsidRPr="00C76478" w:rsidRDefault="00B20811">
            <w:pPr>
              <w:spacing w:before="40"/>
              <w:rPr>
                <w:rFonts w:eastAsiaTheme="minorEastAsia"/>
              </w:rPr>
            </w:pPr>
            <w:r w:rsidRPr="00C76478">
              <w:rPr>
                <w:rFonts w:eastAsiaTheme="minorEastAsia"/>
              </w:rPr>
              <w:t>Факс:</w:t>
            </w:r>
            <w:r w:rsidRPr="00C76478">
              <w:rPr>
                <w:rFonts w:eastAsiaTheme="minorEastAsia"/>
                <w:b/>
                <w:bCs/>
              </w:rPr>
              <w:t xml:space="preserve"> (3522) 60-00-34</w:t>
            </w:r>
          </w:p>
          <w:p w:rsidR="00B20811" w:rsidRPr="00C76478" w:rsidRDefault="00B20811">
            <w:pPr>
              <w:spacing w:before="40"/>
              <w:rPr>
                <w:rFonts w:eastAsiaTheme="minorEastAsia"/>
              </w:rPr>
            </w:pPr>
            <w:r w:rsidRPr="00C76478">
              <w:rPr>
                <w:rFonts w:eastAsiaTheme="minorEastAsia"/>
              </w:rPr>
              <w:t>Адрес электронной почты:</w:t>
            </w:r>
            <w:r w:rsidRPr="00C76478">
              <w:rPr>
                <w:rFonts w:eastAsiaTheme="minorEastAsia"/>
                <w:b/>
                <w:bCs/>
              </w:rPr>
              <w:t xml:space="preserve"> semenov@dalur.ru</w:t>
            </w:r>
          </w:p>
          <w:p w:rsidR="00B20811" w:rsidRPr="00C76478" w:rsidRDefault="00B20811">
            <w:pPr>
              <w:spacing w:before="40"/>
              <w:rPr>
                <w:rFonts w:eastAsiaTheme="minorEastAsia"/>
                <w:b/>
                <w:bCs/>
              </w:rPr>
            </w:pPr>
            <w:r w:rsidRPr="00C76478">
              <w:rPr>
                <w:rFonts w:eastAsiaTheme="minorEastAsia"/>
              </w:rPr>
              <w:t>Адрес страницы (страниц) в сети Интернет, на которой раскрывается информация, содержащаяся в настоящем ежеквартальном отчете:</w:t>
            </w:r>
            <w:r w:rsidRPr="00C76478">
              <w:rPr>
                <w:rFonts w:eastAsiaTheme="minorEastAsia"/>
                <w:b/>
                <w:bCs/>
              </w:rPr>
              <w:t xml:space="preserve"> www.rusfund.ru</w:t>
            </w:r>
          </w:p>
        </w:tc>
        <w:tc>
          <w:tcPr>
            <w:tcW w:w="360" w:type="dxa"/>
          </w:tcPr>
          <w:p w:rsidR="00B20811" w:rsidRPr="00C76478" w:rsidRDefault="00B20811">
            <w:pPr>
              <w:spacing w:before="40"/>
              <w:rPr>
                <w:rFonts w:eastAsiaTheme="minorEastAsia"/>
              </w:rPr>
            </w:pPr>
          </w:p>
        </w:tc>
      </w:tr>
    </w:tbl>
    <w:p w:rsidR="00B20811" w:rsidRDefault="00B20811"/>
    <w:p w:rsidR="00B20811" w:rsidRDefault="00B20811">
      <w:pPr>
        <w:pStyle w:val="1"/>
      </w:pPr>
      <w:r>
        <w:br w:type="page"/>
      </w:r>
      <w:r>
        <w:lastRenderedPageBreak/>
        <w:t>Оглавление</w:t>
      </w:r>
    </w:p>
    <w:p w:rsidR="00B20811" w:rsidRDefault="0017743F">
      <w:r w:rsidRPr="0017743F">
        <w:fldChar w:fldCharType="begin"/>
      </w:r>
      <w:r w:rsidR="00B20811">
        <w:instrText>TOC</w:instrText>
      </w:r>
      <w:r w:rsidRPr="0017743F">
        <w:fldChar w:fldCharType="separate"/>
      </w:r>
      <w:r w:rsidR="00B20811">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p>
    <w:p w:rsidR="00B20811" w:rsidRDefault="00B20811">
      <w:r>
        <w:t xml:space="preserve">1.1. </w:t>
      </w:r>
      <w:r>
        <w:br/>
        <w:t>Лица, входящие в состав органов управления эмитента</w:t>
      </w:r>
    </w:p>
    <w:p w:rsidR="00B20811" w:rsidRDefault="00B20811">
      <w:r>
        <w:t xml:space="preserve">1.2. </w:t>
      </w:r>
      <w:r>
        <w:br/>
        <w:t>Сведения о банковских счетах эмитента</w:t>
      </w:r>
    </w:p>
    <w:p w:rsidR="00B20811" w:rsidRDefault="00B20811">
      <w:r>
        <w:t xml:space="preserve">1.3. </w:t>
      </w:r>
      <w:r>
        <w:br/>
        <w:t>Сведения об аудиторе (аудиторах) эмитента</w:t>
      </w:r>
    </w:p>
    <w:p w:rsidR="00B20811" w:rsidRDefault="00B20811">
      <w:r>
        <w:t xml:space="preserve">1.4. </w:t>
      </w:r>
      <w:r>
        <w:br/>
        <w:t>Сведения об оценщике (оценщиках) эмитента</w:t>
      </w:r>
    </w:p>
    <w:p w:rsidR="00B20811" w:rsidRDefault="00B20811">
      <w:r>
        <w:t xml:space="preserve">1.5. </w:t>
      </w:r>
      <w:r>
        <w:br/>
        <w:t>Сведения о консультантах эмитента</w:t>
      </w:r>
    </w:p>
    <w:p w:rsidR="00B20811" w:rsidRDefault="00B20811">
      <w:r>
        <w:t xml:space="preserve">1.6. </w:t>
      </w:r>
      <w:r>
        <w:br/>
        <w:t>Сведения об иных лицах, подписавших ежеквартальный отчет</w:t>
      </w:r>
    </w:p>
    <w:p w:rsidR="00B20811" w:rsidRDefault="00B20811">
      <w:r>
        <w:t>II. Основная информация о финансово-экономическом состоянии эмитента</w:t>
      </w:r>
    </w:p>
    <w:p w:rsidR="00B20811" w:rsidRDefault="00B20811">
      <w:r>
        <w:t xml:space="preserve">2.1. </w:t>
      </w:r>
      <w:r>
        <w:br/>
        <w:t>Показатели финансово-экономической деятельности эмитента</w:t>
      </w:r>
    </w:p>
    <w:p w:rsidR="00B20811" w:rsidRDefault="00B20811">
      <w:r>
        <w:t xml:space="preserve">2.3. </w:t>
      </w:r>
      <w:r>
        <w:br/>
        <w:t>Обязательства эмитента</w:t>
      </w:r>
    </w:p>
    <w:p w:rsidR="00B20811" w:rsidRDefault="00B20811">
      <w:r>
        <w:t xml:space="preserve">2.3.1. </w:t>
      </w:r>
      <w:r>
        <w:br/>
        <w:t>Кредиторская задолженность</w:t>
      </w:r>
    </w:p>
    <w:p w:rsidR="00B20811" w:rsidRDefault="00B20811">
      <w:r>
        <w:t xml:space="preserve">2.3.2. </w:t>
      </w:r>
      <w:r>
        <w:br/>
        <w:t>Кредитная история эмитента</w:t>
      </w:r>
    </w:p>
    <w:p w:rsidR="00B20811" w:rsidRDefault="00B20811">
      <w:r>
        <w:t xml:space="preserve">2.3.3. </w:t>
      </w:r>
      <w:r>
        <w:br/>
        <w:t>Обязательства эмитента из обеспечения, предоставленного третьим лицам</w:t>
      </w:r>
    </w:p>
    <w:p w:rsidR="00B20811" w:rsidRDefault="00B20811">
      <w:r>
        <w:t xml:space="preserve">2.3.4. </w:t>
      </w:r>
      <w:r>
        <w:br/>
        <w:t>Прочие обязательства эмитента</w:t>
      </w:r>
    </w:p>
    <w:p w:rsidR="00B20811" w:rsidRDefault="00B20811">
      <w:r>
        <w:t xml:space="preserve">2.4. </w:t>
      </w:r>
      <w:r>
        <w:br/>
        <w:t>Цели эмиссии и направления использования средств, полученных в результате размещения эмиссионных ценных бумаг</w:t>
      </w:r>
    </w:p>
    <w:p w:rsidR="00B20811" w:rsidRDefault="00B20811">
      <w:r>
        <w:t xml:space="preserve">2.5. </w:t>
      </w:r>
      <w:r>
        <w:br/>
        <w:t>Риски, связанные с приобретением размещаемых (размещенных) эмиссионных ценных бумаг</w:t>
      </w:r>
    </w:p>
    <w:p w:rsidR="00B20811" w:rsidRDefault="00B20811">
      <w:r>
        <w:t>III. Подробная информация об эмитенте</w:t>
      </w:r>
    </w:p>
    <w:p w:rsidR="00B20811" w:rsidRDefault="00B20811">
      <w:r>
        <w:t xml:space="preserve">3.1. </w:t>
      </w:r>
      <w:r>
        <w:br/>
        <w:t>История создания и развитие эмитента</w:t>
      </w:r>
    </w:p>
    <w:p w:rsidR="00B20811" w:rsidRDefault="00B20811">
      <w:r>
        <w:t xml:space="preserve">3.1.1. </w:t>
      </w:r>
      <w:r>
        <w:br/>
        <w:t>Данные о фирменном наименовании (наименовании) эмитента</w:t>
      </w:r>
    </w:p>
    <w:p w:rsidR="00B20811" w:rsidRDefault="00B20811">
      <w:r>
        <w:t xml:space="preserve">3.1.2. </w:t>
      </w:r>
      <w:r>
        <w:br/>
        <w:t>Сведения о государственной регистрации эмитента</w:t>
      </w:r>
    </w:p>
    <w:p w:rsidR="00B20811" w:rsidRDefault="00B20811">
      <w:r>
        <w:t xml:space="preserve">3.1.3. </w:t>
      </w:r>
      <w:r>
        <w:br/>
        <w:t>Сведения о создании и развитии эмитента</w:t>
      </w:r>
    </w:p>
    <w:p w:rsidR="00B20811" w:rsidRDefault="00B20811">
      <w:r>
        <w:t xml:space="preserve">3.1.4. </w:t>
      </w:r>
      <w:r>
        <w:br/>
        <w:t>Контактная информация</w:t>
      </w:r>
    </w:p>
    <w:p w:rsidR="00B20811" w:rsidRDefault="00B20811">
      <w:r>
        <w:t xml:space="preserve">3.1.5. </w:t>
      </w:r>
      <w:r>
        <w:br/>
        <w:t>Идентификационный номер налогоплательщика</w:t>
      </w:r>
    </w:p>
    <w:p w:rsidR="00B20811" w:rsidRDefault="00B20811">
      <w:r>
        <w:t xml:space="preserve">3.2. </w:t>
      </w:r>
      <w:r>
        <w:br/>
        <w:t>Основная хозяйственная деятельность эмитента</w:t>
      </w:r>
    </w:p>
    <w:p w:rsidR="00B20811" w:rsidRDefault="00B20811">
      <w:r>
        <w:t xml:space="preserve">3.2.1. </w:t>
      </w:r>
      <w:r>
        <w:br/>
        <w:t>Отраслевая принадлежность эмитента</w:t>
      </w:r>
    </w:p>
    <w:p w:rsidR="00B20811" w:rsidRDefault="00B20811">
      <w:r>
        <w:t xml:space="preserve">3.2.2. </w:t>
      </w:r>
      <w:r>
        <w:br/>
        <w:t>Основная хозяйственная деятельность эмитента</w:t>
      </w:r>
    </w:p>
    <w:p w:rsidR="00B20811" w:rsidRDefault="00B20811">
      <w:r>
        <w:t xml:space="preserve">3.2.3. </w:t>
      </w:r>
      <w:r>
        <w:br/>
      </w:r>
      <w:r>
        <w:lastRenderedPageBreak/>
        <w:t>Материалы, товары (сырье) и поставщики эмитента</w:t>
      </w:r>
    </w:p>
    <w:p w:rsidR="00B20811" w:rsidRDefault="00B20811">
      <w:r>
        <w:t xml:space="preserve">3.2.4. </w:t>
      </w:r>
      <w:r>
        <w:br/>
        <w:t>Рынки сбыта продукции (работ, услуг) эмитента</w:t>
      </w:r>
    </w:p>
    <w:p w:rsidR="00B20811" w:rsidRDefault="00B20811">
      <w:r>
        <w:t xml:space="preserve">3.2.5. </w:t>
      </w:r>
      <w:r>
        <w:br/>
        <w:t>Сведения о наличии у эмитента лицензий</w:t>
      </w:r>
    </w:p>
    <w:p w:rsidR="00B20811" w:rsidRDefault="00B20811">
      <w:r>
        <w:t xml:space="preserve">3.2.6. </w:t>
      </w:r>
      <w:r>
        <w:br/>
        <w:t>Совместная деятельность эмитента</w:t>
      </w:r>
    </w:p>
    <w:p w:rsidR="00B20811" w:rsidRDefault="00B20811">
      <w:r>
        <w:t xml:space="preserve">3.3. </w:t>
      </w:r>
      <w:r>
        <w:br/>
        <w:t>Планы будущей деятельности эмитента</w:t>
      </w:r>
    </w:p>
    <w:p w:rsidR="00B20811" w:rsidRDefault="00B20811">
      <w:r>
        <w:t xml:space="preserve">3.4. </w:t>
      </w:r>
      <w:r>
        <w:br/>
        <w:t>Участие эмитента в промышленных, банковских и финансовых группах, холдингах, концернах и ассоциациях</w:t>
      </w:r>
    </w:p>
    <w:p w:rsidR="00B20811" w:rsidRDefault="00B20811">
      <w:r>
        <w:t xml:space="preserve">3.5. </w:t>
      </w:r>
      <w:r>
        <w:br/>
        <w:t>Дочерние и зависимые хозяйственные общества эмитента</w:t>
      </w:r>
    </w:p>
    <w:p w:rsidR="00B20811" w:rsidRDefault="00B20811">
      <w:r>
        <w:t xml:space="preserve">3.6. </w:t>
      </w:r>
      <w:r>
        <w:br/>
        <w:t>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p>
    <w:p w:rsidR="00B20811" w:rsidRDefault="00B20811">
      <w:r>
        <w:t xml:space="preserve">3.6.1. </w:t>
      </w:r>
      <w:r>
        <w:br/>
        <w:t>Основные средства</w:t>
      </w:r>
    </w:p>
    <w:p w:rsidR="00B20811" w:rsidRDefault="00B20811">
      <w:r>
        <w:t>IV. Сведения о финансово-хозяйственной деятельности эмитента</w:t>
      </w:r>
    </w:p>
    <w:p w:rsidR="00B20811" w:rsidRDefault="00B20811">
      <w:r>
        <w:t xml:space="preserve">4.1. </w:t>
      </w:r>
      <w:r>
        <w:br/>
        <w:t>Результаты финансово-хозяйственной деятельности эмитента</w:t>
      </w:r>
    </w:p>
    <w:p w:rsidR="00B20811" w:rsidRDefault="00B20811">
      <w:r>
        <w:t xml:space="preserve">4.1.1. </w:t>
      </w:r>
      <w:r>
        <w:br/>
        <w:t>Прибыль и убытки</w:t>
      </w:r>
    </w:p>
    <w:p w:rsidR="00B20811" w:rsidRDefault="00B20811">
      <w:r>
        <w:t xml:space="preserve">4.1.2. </w:t>
      </w:r>
      <w:r>
        <w:br/>
        <w:t>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p>
    <w:p w:rsidR="00B20811" w:rsidRDefault="00B20811">
      <w:r>
        <w:t xml:space="preserve">4.2. </w:t>
      </w:r>
      <w:r>
        <w:br/>
        <w:t>Ликвидность эмитента, достаточность капитала и оборотных средств</w:t>
      </w:r>
    </w:p>
    <w:p w:rsidR="00B20811" w:rsidRDefault="00B20811">
      <w:r>
        <w:t xml:space="preserve">4.3. </w:t>
      </w:r>
      <w:r>
        <w:br/>
        <w:t>Размер и структура капитала и оборотных средств эмитента</w:t>
      </w:r>
    </w:p>
    <w:p w:rsidR="00B20811" w:rsidRDefault="00B20811">
      <w:r>
        <w:t xml:space="preserve">4.3.1. </w:t>
      </w:r>
      <w:r>
        <w:br/>
        <w:t>Размер и структура капитала и оборотных средств эмитента</w:t>
      </w:r>
    </w:p>
    <w:p w:rsidR="00B20811" w:rsidRDefault="00B20811">
      <w:r>
        <w:t xml:space="preserve">4.3.2. </w:t>
      </w:r>
      <w:r>
        <w:br/>
        <w:t>Финансовые вложения эмитента</w:t>
      </w:r>
    </w:p>
    <w:p w:rsidR="00B20811" w:rsidRDefault="00B20811">
      <w:r>
        <w:t xml:space="preserve">4.3.3. </w:t>
      </w:r>
      <w:r>
        <w:br/>
        <w:t>Нематериальные активы эмитента</w:t>
      </w:r>
    </w:p>
    <w:p w:rsidR="00B20811" w:rsidRDefault="00B20811">
      <w:r>
        <w:t xml:space="preserve">4.4. </w:t>
      </w:r>
      <w:r>
        <w:br/>
        <w:t>Сведения о политике и расходах эмитента в области научно-технического развития, в отношении лицензий и патентов, новых разработок и исследований</w:t>
      </w:r>
    </w:p>
    <w:p w:rsidR="00B20811" w:rsidRDefault="00B20811">
      <w:r>
        <w:t xml:space="preserve">4.5. </w:t>
      </w:r>
      <w:r>
        <w:br/>
        <w:t>Анализ тенденций развития в сфере основной деятельности эмитента</w:t>
      </w:r>
    </w:p>
    <w:p w:rsidR="00B20811" w:rsidRDefault="00B20811">
      <w: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p>
    <w:p w:rsidR="00B20811" w:rsidRDefault="00B20811">
      <w:r>
        <w:t xml:space="preserve">5.1. </w:t>
      </w:r>
      <w:r>
        <w:br/>
        <w:t>Сведения о структуре и компетенции органов управления эмитента</w:t>
      </w:r>
    </w:p>
    <w:p w:rsidR="00B20811" w:rsidRDefault="00B20811">
      <w:r>
        <w:t xml:space="preserve">5.2. </w:t>
      </w:r>
      <w:r>
        <w:br/>
        <w:t>Информация о лицах, входящих в состав органов управления эмитента</w:t>
      </w:r>
    </w:p>
    <w:p w:rsidR="00B20811" w:rsidRDefault="00B20811">
      <w:r>
        <w:t xml:space="preserve">5.2.1. </w:t>
      </w:r>
      <w:r>
        <w:br/>
        <w:t>Состав совета директоров (наблюдательного совета) эмитента</w:t>
      </w:r>
    </w:p>
    <w:p w:rsidR="00B20811" w:rsidRDefault="00B20811">
      <w:r>
        <w:t xml:space="preserve">5.2.2. </w:t>
      </w:r>
      <w:r>
        <w:br/>
        <w:t>Информация о единоличном исполнительном органе эмитента</w:t>
      </w:r>
    </w:p>
    <w:p w:rsidR="00B20811" w:rsidRDefault="00B20811">
      <w:r>
        <w:t xml:space="preserve">5.2.3. </w:t>
      </w:r>
      <w:r>
        <w:br/>
        <w:t>Состав коллегиального исполнительного органа эмитента</w:t>
      </w:r>
    </w:p>
    <w:p w:rsidR="00B20811" w:rsidRDefault="00B20811">
      <w:r>
        <w:t xml:space="preserve">5.3. </w:t>
      </w:r>
      <w:r>
        <w:br/>
      </w:r>
      <w:r>
        <w:lastRenderedPageBreak/>
        <w:t>Сведения о размере вознаграждения, льгот и/или компенсации расходов по каждому органу управления эмитента</w:t>
      </w:r>
    </w:p>
    <w:p w:rsidR="00B20811" w:rsidRDefault="00B20811">
      <w:r>
        <w:t xml:space="preserve">5.4. </w:t>
      </w:r>
      <w:r>
        <w:br/>
        <w:t>Сведения о структуре и компетенции органов контроля за финансово-хозяйственной деятельностью эмитента</w:t>
      </w:r>
    </w:p>
    <w:p w:rsidR="00B20811" w:rsidRDefault="00B20811">
      <w:r>
        <w:t xml:space="preserve">5.5. </w:t>
      </w:r>
      <w:r>
        <w:br/>
        <w:t>Информация о лицах, входящих в состав органов контроля за финансово-хозяйственной деятельностью эмитента</w:t>
      </w:r>
    </w:p>
    <w:p w:rsidR="00B20811" w:rsidRDefault="00B20811">
      <w:r>
        <w:t xml:space="preserve">5.6. </w:t>
      </w:r>
      <w:r>
        <w:br/>
        <w:t>Сведения о размере вознаграждения, льгот и/или компенсации расходов по органу контроля за финансово-хозяйственной деятельностью эмитента</w:t>
      </w:r>
    </w:p>
    <w:p w:rsidR="00B20811" w:rsidRDefault="00B20811">
      <w:r>
        <w:t xml:space="preserve">5.7. </w:t>
      </w:r>
      <w:r>
        <w:br/>
        <w:t>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p>
    <w:p w:rsidR="00B20811" w:rsidRDefault="00B20811">
      <w:r>
        <w:t xml:space="preserve">5.8. </w:t>
      </w:r>
      <w:r>
        <w:br/>
        <w:t>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p>
    <w:p w:rsidR="00B20811" w:rsidRDefault="00B20811">
      <w:r>
        <w:t>VI. Сведения об участниках (акционерах) эмитента и о совершенных эмитентом сделках, в совершении которых имелась заинтересованность</w:t>
      </w:r>
    </w:p>
    <w:p w:rsidR="00B20811" w:rsidRDefault="00B20811">
      <w:r>
        <w:t xml:space="preserve">6.1-6.2. </w:t>
      </w:r>
      <w:r>
        <w:br/>
        <w:t>Акционеры</w:t>
      </w:r>
    </w:p>
    <w:p w:rsidR="00B20811" w:rsidRDefault="00B20811">
      <w:r>
        <w:t xml:space="preserve">6.1. </w:t>
      </w:r>
      <w:r>
        <w:br/>
        <w:t>Сведения об общем количестве акционеров (участников) эмитента</w:t>
      </w:r>
    </w:p>
    <w:p w:rsidR="00B20811" w:rsidRDefault="00B20811">
      <w:r>
        <w:t xml:space="preserve">6.2. </w:t>
      </w:r>
      <w:r>
        <w:br/>
        <w:t>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(складочного) капитала (паевого фонда) или не менее чем 20 процентами их обыкновенных акций</w:t>
      </w:r>
    </w:p>
    <w:p w:rsidR="00B20811" w:rsidRDefault="00B20811">
      <w:r>
        <w:t xml:space="preserve">6.3. </w:t>
      </w:r>
      <w:r>
        <w:br/>
        <w:t>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p>
    <w:p w:rsidR="00B20811" w:rsidRDefault="00B20811">
      <w:r>
        <w:t xml:space="preserve">6.4. </w:t>
      </w:r>
      <w:r>
        <w:br/>
        <w:t>Сведения об ограничениях на участие в уставном (складочном) капитале (паевом фонде) эмитента</w:t>
      </w:r>
    </w:p>
    <w:p w:rsidR="00B20811" w:rsidRDefault="00B20811">
      <w:r>
        <w:t xml:space="preserve">6.5. </w:t>
      </w:r>
      <w:r>
        <w:br/>
        <w:t>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p>
    <w:p w:rsidR="00B20811" w:rsidRDefault="00B20811">
      <w:r>
        <w:t xml:space="preserve">6.6. </w:t>
      </w:r>
      <w:r>
        <w:br/>
        <w:t>Сведения о совершенных эмитентом сделках, в совершении которых имелась заинтересованность</w:t>
      </w:r>
    </w:p>
    <w:p w:rsidR="00B20811" w:rsidRDefault="00B20811">
      <w:r>
        <w:t xml:space="preserve">6.7. </w:t>
      </w:r>
      <w:r>
        <w:br/>
        <w:t>Сведения о размере дебиторской задолженности</w:t>
      </w:r>
    </w:p>
    <w:p w:rsidR="00B20811" w:rsidRDefault="00B20811">
      <w:r>
        <w:t>VII. Бухгалтерская отчетность эмитента и иная финансовая информация</w:t>
      </w:r>
    </w:p>
    <w:p w:rsidR="00B20811" w:rsidRDefault="00B20811">
      <w:r>
        <w:t xml:space="preserve">7.1. </w:t>
      </w:r>
      <w:r>
        <w:br/>
        <w:t>Годовая бухгалтерская отчетность эмитента</w:t>
      </w:r>
    </w:p>
    <w:p w:rsidR="00B20811" w:rsidRDefault="00B20811">
      <w:r>
        <w:t xml:space="preserve">7.2. </w:t>
      </w:r>
      <w:r>
        <w:br/>
        <w:t>Квартальная бухгалтерская отчетность эмитента за последний завершенный отчетный квартал</w:t>
      </w:r>
    </w:p>
    <w:p w:rsidR="00B20811" w:rsidRDefault="00B20811">
      <w:r>
        <w:t xml:space="preserve">7.3. </w:t>
      </w:r>
      <w:r>
        <w:br/>
        <w:t>Сводная бухгалтерская отчетность эмитента за последний завершенный финансовый год</w:t>
      </w:r>
    </w:p>
    <w:p w:rsidR="00B20811" w:rsidRDefault="00B20811">
      <w:r>
        <w:t xml:space="preserve">7.4. </w:t>
      </w:r>
      <w:r>
        <w:br/>
        <w:t>Сведения об учетной политике эмитента</w:t>
      </w:r>
    </w:p>
    <w:p w:rsidR="00B20811" w:rsidRDefault="00B20811">
      <w:r>
        <w:t xml:space="preserve">7.5. </w:t>
      </w:r>
      <w:r>
        <w:br/>
        <w:t>Сведения об общей сумме экспорта, а также о доле, которую составляет экспорт в общем объеме продаж</w:t>
      </w:r>
    </w:p>
    <w:p w:rsidR="00B20811" w:rsidRDefault="00B20811">
      <w:r>
        <w:t xml:space="preserve">7.6. </w:t>
      </w:r>
      <w:r>
        <w:br/>
        <w:t>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p>
    <w:p w:rsidR="00B20811" w:rsidRDefault="00B20811">
      <w:r>
        <w:t xml:space="preserve">7.7. </w:t>
      </w:r>
      <w:r>
        <w:br/>
      </w:r>
      <w:r>
        <w:lastRenderedPageBreak/>
        <w:t>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p>
    <w:p w:rsidR="00B20811" w:rsidRDefault="00B20811">
      <w:r>
        <w:t>VIII. Дополнительные сведения об эмитенте и о размещенных им эмиссионных ценных бумагах</w:t>
      </w:r>
    </w:p>
    <w:p w:rsidR="00B20811" w:rsidRDefault="00B20811">
      <w:r>
        <w:t xml:space="preserve">8.1. </w:t>
      </w:r>
      <w:r>
        <w:br/>
        <w:t>Дополнительные сведения об эмитенте</w:t>
      </w:r>
    </w:p>
    <w:p w:rsidR="00B20811" w:rsidRDefault="00B20811">
      <w:r>
        <w:t xml:space="preserve">8.1.1. </w:t>
      </w:r>
      <w:r>
        <w:br/>
        <w:t>Сведения о размере, структуре уставного (складочного) капитала (паевого фонда) эмитента</w:t>
      </w:r>
    </w:p>
    <w:p w:rsidR="00B20811" w:rsidRDefault="00B20811">
      <w:r>
        <w:t xml:space="preserve">8.1.2. </w:t>
      </w:r>
      <w:r>
        <w:br/>
        <w:t>Сведения об изменении размера уставного (складочного) капитала (паевого фонда) эмитента</w:t>
      </w:r>
    </w:p>
    <w:p w:rsidR="00B20811" w:rsidRDefault="00B20811">
      <w:r>
        <w:t xml:space="preserve">8.1.3. </w:t>
      </w:r>
      <w:r>
        <w:br/>
        <w:t>Сведения о формировании и об использовании резервного фонда, а также иных фондов эмитента</w:t>
      </w:r>
    </w:p>
    <w:p w:rsidR="00B20811" w:rsidRDefault="00B20811">
      <w:r>
        <w:t xml:space="preserve">8.1.4. </w:t>
      </w:r>
      <w:r>
        <w:br/>
        <w:t>Сведения о порядке созыва и проведения собрания (заседания) высшего органа управления эмитента</w:t>
      </w:r>
    </w:p>
    <w:p w:rsidR="00B20811" w:rsidRDefault="00B20811">
      <w:r>
        <w:t xml:space="preserve">8.1.5. </w:t>
      </w:r>
      <w:r>
        <w:br/>
        <w:t>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p>
    <w:p w:rsidR="00B20811" w:rsidRDefault="00B20811">
      <w:r>
        <w:t xml:space="preserve">8.1.6. </w:t>
      </w:r>
      <w:r>
        <w:br/>
        <w:t>Сведения о существенных сделках, совершенных эмитентом</w:t>
      </w:r>
    </w:p>
    <w:p w:rsidR="00B20811" w:rsidRDefault="00B20811">
      <w:r>
        <w:t xml:space="preserve">8.1.7. </w:t>
      </w:r>
      <w:r>
        <w:br/>
        <w:t>Сведения о кредитных рейтингах эмитента</w:t>
      </w:r>
    </w:p>
    <w:p w:rsidR="00B20811" w:rsidRDefault="00B20811">
      <w:r>
        <w:t xml:space="preserve">8.3. </w:t>
      </w:r>
      <w:r>
        <w:br/>
        <w:t>Сведения о предыдущих выпусках эмиссионных ценных бумаг эмитента, за исключением акций эмитента</w:t>
      </w:r>
    </w:p>
    <w:p w:rsidR="00B20811" w:rsidRDefault="00B20811">
      <w:r>
        <w:t xml:space="preserve">8.3.1. </w:t>
      </w:r>
      <w:r>
        <w:br/>
        <w:t>Сведения о выпусках, все ценные бумаги которых погашены (аннулированы)</w:t>
      </w:r>
    </w:p>
    <w:p w:rsidR="00B20811" w:rsidRDefault="00B20811">
      <w:r>
        <w:t xml:space="preserve">8.3.2. </w:t>
      </w:r>
      <w:r>
        <w:br/>
        <w:t>Сведения о выпусках, ценные бумаги которых находятся в обращении</w:t>
      </w:r>
    </w:p>
    <w:p w:rsidR="00B20811" w:rsidRDefault="00B20811">
      <w:r>
        <w:t xml:space="preserve">8.3.3. </w:t>
      </w:r>
      <w:r>
        <w:br/>
        <w:t>Сведения о выпусках, обязательства эмитента по ценным бумагам которых не исполнены (дефолт)</w:t>
      </w:r>
    </w:p>
    <w:p w:rsidR="00B20811" w:rsidRDefault="00B20811">
      <w:r>
        <w:t xml:space="preserve">8.4. </w:t>
      </w:r>
      <w:r>
        <w:br/>
        <w:t>Сведения о лице (лицах), предоставившем (предоставивших) обеспечение по облигациям выпуска</w:t>
      </w:r>
    </w:p>
    <w:p w:rsidR="00B20811" w:rsidRDefault="00B20811">
      <w:r>
        <w:t xml:space="preserve">8.5. </w:t>
      </w:r>
      <w:r>
        <w:br/>
        <w:t>Условия обеспечения исполнения обязательств по облигациям выпуска</w:t>
      </w:r>
    </w:p>
    <w:p w:rsidR="00B20811" w:rsidRDefault="00B20811">
      <w:r>
        <w:t xml:space="preserve">8.5.1. </w:t>
      </w:r>
      <w:r>
        <w:br/>
        <w:t>Условия обеспечения исполнения обязательств по облигациям с ипотечным покрытием</w:t>
      </w:r>
    </w:p>
    <w:p w:rsidR="00B20811" w:rsidRDefault="00B20811">
      <w:r>
        <w:t xml:space="preserve">8.6. </w:t>
      </w:r>
      <w:r>
        <w:br/>
        <w:t>Сведения об организациях, осуществляющих учет прав на эмиссионные ценные бумаги эмитента</w:t>
      </w:r>
    </w:p>
    <w:p w:rsidR="00B20811" w:rsidRDefault="00B20811">
      <w:r>
        <w:t xml:space="preserve">8.7. </w:t>
      </w:r>
      <w:r>
        <w:br/>
        <w:t>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p>
    <w:p w:rsidR="00B20811" w:rsidRDefault="00B20811">
      <w:r>
        <w:t xml:space="preserve">8.8. </w:t>
      </w:r>
      <w:r>
        <w:br/>
        <w:t>Описание порядка налогообложения доходов по размещенным и размещаемым эмиссионным ценным бумагам эмитента</w:t>
      </w:r>
    </w:p>
    <w:p w:rsidR="00B20811" w:rsidRDefault="00B20811">
      <w:r>
        <w:t xml:space="preserve">8.9. </w:t>
      </w:r>
      <w:r>
        <w:br/>
        <w:t>Сведения об объявленных (начисленных) и о выплаченных дивидендах по акциям эмитента, а также о доходах по облигациям эмитента</w:t>
      </w:r>
    </w:p>
    <w:p w:rsidR="00B20811" w:rsidRDefault="00B20811">
      <w:r>
        <w:t xml:space="preserve">8.9.2. </w:t>
      </w:r>
      <w:r>
        <w:br/>
        <w:t>Выпуски облигаций, по которым за 5 последних завершенных финансовых лет, предшествующих дате окончания последнего отчетного квартала, а если эмитент осуществляет свою деятельность менее 5 лет - за каждый завершенный финансовый год, предшествующий дате окончания последнего отчетного квартала, выплачивался доход</w:t>
      </w:r>
    </w:p>
    <w:p w:rsidR="00B20811" w:rsidRDefault="00B20811">
      <w:r>
        <w:t xml:space="preserve">8.10. </w:t>
      </w:r>
      <w:r>
        <w:br/>
        <w:t>Иные сведения</w:t>
      </w:r>
    </w:p>
    <w:p w:rsidR="00B20811" w:rsidRDefault="00B20811">
      <w:r>
        <w:t xml:space="preserve">8.11. </w:t>
      </w:r>
      <w:r>
        <w:br/>
        <w:t>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p>
    <w:p w:rsidR="00B20811" w:rsidRDefault="0017743F">
      <w:pPr>
        <w:pStyle w:val="1"/>
      </w:pPr>
      <w:r>
        <w:fldChar w:fldCharType="end"/>
      </w:r>
      <w:r w:rsidR="00B20811">
        <w:br w:type="page"/>
      </w:r>
      <w:r w:rsidR="00B20811">
        <w:lastRenderedPageBreak/>
        <w:t>Введение</w:t>
      </w:r>
    </w:p>
    <w:p w:rsidR="00B20811" w:rsidRDefault="00B20811">
      <w:pPr>
        <w:pStyle w:val="SubHeading"/>
      </w:pPr>
      <w:r>
        <w:t>Основания возникновения у эмитента обязанности осуществлять раскрытие информации в форме ежеквартального отчета</w:t>
      </w:r>
    </w:p>
    <w:p w:rsidR="00B20811" w:rsidRDefault="00B20811">
      <w:pPr>
        <w:ind w:left="200"/>
      </w:pPr>
      <w:r>
        <w:rPr>
          <w:rStyle w:val="Subst"/>
        </w:rPr>
        <w:t>В отношении ценных бумаг эмитента осуществлена регистрация проспекта ценных бумаг</w:t>
      </w:r>
    </w:p>
    <w:p w:rsidR="00B20811" w:rsidRDefault="00B20811">
      <w:pPr>
        <w:ind w:left="200"/>
      </w:pPr>
    </w:p>
    <w:p w:rsidR="00B20811" w:rsidRDefault="00B20811">
      <w:pPr>
        <w:ind w:left="200"/>
      </w:pPr>
    </w:p>
    <w:p w:rsidR="00B20811" w:rsidRDefault="00B20811">
      <w:pPr>
        <w:ind w:left="200"/>
      </w:pPr>
    </w:p>
    <w:p w:rsidR="00B20811" w:rsidRDefault="00B20811">
      <w:pPr>
        <w:ind w:left="200"/>
      </w:pPr>
    </w:p>
    <w:p w:rsidR="00B20811" w:rsidRDefault="00B20811">
      <w:pPr>
        <w:pStyle w:val="ThinDelim"/>
      </w:pPr>
    </w:p>
    <w:p w:rsidR="00B20811" w:rsidRDefault="00B20811">
      <w:r>
        <w:rPr>
          <w:rStyle w:val="Subst"/>
        </w:rPr>
        <w:t xml:space="preserve">выпуск зарегистрирован: 12.12.2007 </w:t>
      </w:r>
      <w:r>
        <w:rPr>
          <w:rStyle w:val="Subst"/>
        </w:rPr>
        <w:br/>
        <w:t>вид ценных бумаг: облигации</w:t>
      </w:r>
      <w:r>
        <w:rPr>
          <w:rStyle w:val="Subst"/>
        </w:rPr>
        <w:br/>
        <w:t>категория (тип) ценных бумаг: процентные неконвертируемые документарные облигации на предъявителя серии 01 с обязательным централизованным хранением</w:t>
      </w:r>
      <w:r>
        <w:rPr>
          <w:rStyle w:val="Subst"/>
        </w:rPr>
        <w:br/>
        <w:t>серия: 01.</w:t>
      </w:r>
      <w:r>
        <w:rPr>
          <w:rStyle w:val="Subst"/>
        </w:rPr>
        <w:br/>
        <w:t>количество размещаемых ценных бумаг: 520 000 (Пятьсот двадцать тысяч) штук</w:t>
      </w:r>
      <w:r>
        <w:rPr>
          <w:rStyle w:val="Subst"/>
        </w:rPr>
        <w:br/>
        <w:t>номинальная стоимость одной облигации: 1 000 (Одна тысяча) руб.</w:t>
      </w:r>
    </w:p>
    <w:p w:rsidR="00B20811" w:rsidRDefault="00B20811">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B20811" w:rsidRDefault="00B20811">
      <w:pPr>
        <w:pStyle w:val="1"/>
      </w:pPr>
      <w:r>
        <w:br w:type="page"/>
      </w:r>
      <w:r>
        <w:lastRenderedPageBreak/>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p>
    <w:p w:rsidR="00B20811" w:rsidRDefault="00B20811">
      <w:pPr>
        <w:pStyle w:val="2"/>
      </w:pPr>
      <w:r>
        <w:t>1.1. Лица, входящие в состав органов управления эмитента</w:t>
      </w:r>
    </w:p>
    <w:p w:rsidR="00B20811" w:rsidRDefault="00B20811">
      <w:pPr>
        <w:pStyle w:val="SubHeading"/>
        <w:ind w:left="200"/>
      </w:pPr>
      <w:r>
        <w:t>Состав совета директоров эмитента</w:t>
      </w:r>
    </w:p>
    <w:p w:rsidR="00B20811" w:rsidRDefault="00B20811">
      <w:pPr>
        <w:ind w:left="400"/>
      </w:pPr>
      <w:r>
        <w:rPr>
          <w:rStyle w:val="Subst"/>
        </w:rPr>
        <w:t>Совет директоров не предусмотрен Уставом</w:t>
      </w:r>
    </w:p>
    <w:p w:rsidR="00B20811" w:rsidRDefault="00B20811">
      <w:pPr>
        <w:pStyle w:val="SubHeading"/>
        <w:ind w:left="200"/>
      </w:pPr>
      <w:r>
        <w:t>Единоличный исполнительный орган эмитента</w:t>
      </w:r>
    </w:p>
    <w:p w:rsidR="00B20811" w:rsidRDefault="00B20811">
      <w:pPr>
        <w:ind w:left="400"/>
      </w:pPr>
    </w:p>
    <w:p w:rsidR="00B20811" w:rsidRDefault="00B20811">
      <w:pPr>
        <w:ind w:left="400"/>
      </w:pPr>
    </w:p>
    <w:p w:rsidR="00B20811" w:rsidRDefault="00B20811">
      <w:pPr>
        <w:pStyle w:val="ThinDelim"/>
      </w:pPr>
    </w:p>
    <w:tbl>
      <w:tblPr>
        <w:tblW w:w="0" w:type="auto"/>
        <w:tblLayout w:type="fixed"/>
        <w:tblCellMar>
          <w:left w:w="72" w:type="dxa"/>
          <w:right w:w="72" w:type="dxa"/>
        </w:tblCellMar>
        <w:tblLook w:val="0000"/>
      </w:tblPr>
      <w:tblGrid>
        <w:gridCol w:w="7752"/>
        <w:gridCol w:w="1500"/>
      </w:tblGrid>
      <w:tr w:rsidR="00B20811" w:rsidRPr="00C76478">
        <w:tc>
          <w:tcPr>
            <w:tcW w:w="775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ФИО</w:t>
            </w:r>
          </w:p>
        </w:tc>
        <w:tc>
          <w:tcPr>
            <w:tcW w:w="1500"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Год рождения</w:t>
            </w:r>
          </w:p>
        </w:tc>
      </w:tr>
      <w:tr w:rsidR="00B20811" w:rsidRPr="00C76478">
        <w:tc>
          <w:tcPr>
            <w:tcW w:w="775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Семёнов Сергей Александрович</w:t>
            </w:r>
          </w:p>
        </w:tc>
        <w:tc>
          <w:tcPr>
            <w:tcW w:w="1500" w:type="dxa"/>
            <w:tcBorders>
              <w:top w:val="single" w:sz="6" w:space="0" w:color="auto"/>
              <w:left w:val="single" w:sz="6" w:space="0" w:color="auto"/>
              <w:bottom w:val="doub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1973</w:t>
            </w:r>
          </w:p>
        </w:tc>
      </w:tr>
    </w:tbl>
    <w:p w:rsidR="00B20811" w:rsidRDefault="00B20811"/>
    <w:p w:rsidR="00B20811" w:rsidRDefault="00B20811">
      <w:pPr>
        <w:pStyle w:val="SubHeading"/>
        <w:ind w:left="200"/>
      </w:pPr>
      <w:r>
        <w:t>Состав коллегиального исполнительного органа эмитента</w:t>
      </w:r>
    </w:p>
    <w:p w:rsidR="00B20811" w:rsidRDefault="00B20811">
      <w:pPr>
        <w:ind w:left="400"/>
      </w:pPr>
      <w:r>
        <w:rPr>
          <w:rStyle w:val="Subst"/>
        </w:rPr>
        <w:t>Коллегиальный исполнительный орган не предусмотрен</w:t>
      </w:r>
    </w:p>
    <w:p w:rsidR="00B20811" w:rsidRDefault="00B20811">
      <w:pPr>
        <w:pStyle w:val="2"/>
      </w:pPr>
      <w:r>
        <w:t>1.2. Сведения о банковских счетах эмитента</w:t>
      </w:r>
    </w:p>
    <w:p w:rsidR="00B20811" w:rsidRDefault="00B20811">
      <w:pPr>
        <w:pStyle w:val="SubHeading"/>
        <w:ind w:left="200"/>
      </w:pPr>
      <w:r>
        <w:t>Сведения о кредитной организации</w:t>
      </w:r>
    </w:p>
    <w:p w:rsidR="00B20811" w:rsidRDefault="00B20811">
      <w:pPr>
        <w:ind w:left="400"/>
      </w:pPr>
      <w:r>
        <w:t>Полное фирменное наименование:</w:t>
      </w:r>
      <w:r>
        <w:rPr>
          <w:rStyle w:val="Subst"/>
        </w:rPr>
        <w:t xml:space="preserve"> Акционерный коммерческий Сберегательный банк Российской Федерации (открытое Акционерное Общество)</w:t>
      </w:r>
    </w:p>
    <w:p w:rsidR="00B20811" w:rsidRDefault="00B20811">
      <w:pPr>
        <w:ind w:left="400"/>
      </w:pPr>
      <w:r>
        <w:t>Сокращенное фирменное наименование:</w:t>
      </w:r>
      <w:r>
        <w:rPr>
          <w:rStyle w:val="Subst"/>
        </w:rPr>
        <w:t xml:space="preserve"> АК СБ РФ (ОАО) Шадринское отделение № 286  УДО № 0286/0134</w:t>
      </w:r>
    </w:p>
    <w:p w:rsidR="00B20811" w:rsidRDefault="00B20811">
      <w:pPr>
        <w:ind w:left="400"/>
      </w:pPr>
      <w:r>
        <w:t>Место нахождения:</w:t>
      </w:r>
      <w:r>
        <w:rPr>
          <w:rStyle w:val="Subst"/>
        </w:rPr>
        <w:t xml:space="preserve"> 641730, Курганская область, г. Далматово, ул. Советская, 166</w:t>
      </w:r>
    </w:p>
    <w:p w:rsidR="00B20811" w:rsidRDefault="00B20811">
      <w:pPr>
        <w:ind w:left="400"/>
      </w:pPr>
      <w:r>
        <w:t>ИНН:</w:t>
      </w:r>
      <w:r>
        <w:rPr>
          <w:rStyle w:val="Subst"/>
        </w:rPr>
        <w:t xml:space="preserve"> 7707083893</w:t>
      </w:r>
    </w:p>
    <w:p w:rsidR="00B20811" w:rsidRDefault="00B20811">
      <w:pPr>
        <w:ind w:left="400"/>
      </w:pPr>
      <w:r>
        <w:t>БИК:</w:t>
      </w:r>
      <w:r>
        <w:rPr>
          <w:rStyle w:val="Subst"/>
        </w:rPr>
        <w:t xml:space="preserve"> 043735650</w:t>
      </w:r>
    </w:p>
    <w:p w:rsidR="00B20811" w:rsidRDefault="00B20811">
      <w:pPr>
        <w:ind w:left="200"/>
      </w:pPr>
      <w:r>
        <w:t>Номер счета:</w:t>
      </w:r>
      <w:r>
        <w:rPr>
          <w:rStyle w:val="Subst"/>
        </w:rPr>
        <w:t xml:space="preserve"> 40702810132090110442</w:t>
      </w:r>
    </w:p>
    <w:p w:rsidR="00B20811" w:rsidRDefault="00B20811">
      <w:pPr>
        <w:ind w:left="200"/>
      </w:pPr>
      <w:r>
        <w:t>Корр. счет:</w:t>
      </w:r>
      <w:r>
        <w:rPr>
          <w:rStyle w:val="Subst"/>
        </w:rPr>
        <w:t xml:space="preserve"> 30101810100000000650</w:t>
      </w:r>
    </w:p>
    <w:p w:rsidR="00B20811" w:rsidRDefault="00B20811">
      <w:pPr>
        <w:ind w:left="200"/>
      </w:pPr>
      <w:r>
        <w:t>Тип счета:</w:t>
      </w:r>
      <w:r>
        <w:rPr>
          <w:rStyle w:val="Subst"/>
        </w:rPr>
        <w:t xml:space="preserve"> расчетный</w:t>
      </w:r>
    </w:p>
    <w:p w:rsidR="00B20811" w:rsidRDefault="00B20811">
      <w:pPr>
        <w:ind w:left="200"/>
      </w:pPr>
    </w:p>
    <w:p w:rsidR="00B20811" w:rsidRDefault="00B20811">
      <w:pPr>
        <w:pStyle w:val="2"/>
      </w:pPr>
      <w:r>
        <w:t>1.3. Сведения об аудиторе (аудиторах) эмитента</w:t>
      </w:r>
    </w:p>
    <w:p w:rsidR="00B20811" w:rsidRDefault="00B20811">
      <w:pPr>
        <w:ind w:left="200"/>
      </w:pPr>
      <w:r>
        <w:t>Аудитор (аудиторы), осуществляющий независимую проверку бухгалтерского учета и финансовой (бухгалтерской) отчетности эмитента, на основании заключенного с ним договора, а также об аудиторе (аудиторах), утвержденном (выбранном) для аудита годовой финансовой (бухгалтерской) отчетности эмитента по итогам текущего или завершенного финансового года:</w:t>
      </w:r>
    </w:p>
    <w:p w:rsidR="00B20811" w:rsidRDefault="00B20811">
      <w:pPr>
        <w:ind w:left="200"/>
      </w:pPr>
      <w:r>
        <w:t>Полное фирменное наименование:</w:t>
      </w:r>
      <w:r>
        <w:rPr>
          <w:rStyle w:val="Subst"/>
        </w:rPr>
        <w:t xml:space="preserve"> Общество с ограниченной ответственностью «Нексиа Пачоли»</w:t>
      </w:r>
    </w:p>
    <w:p w:rsidR="00B20811" w:rsidRDefault="00B20811">
      <w:pPr>
        <w:ind w:left="200"/>
      </w:pPr>
      <w:r>
        <w:t>Сокращенное фирменное наименование:</w:t>
      </w:r>
      <w:r>
        <w:rPr>
          <w:rStyle w:val="Subst"/>
        </w:rPr>
        <w:t xml:space="preserve"> ООО «Нексиа Пачоли»</w:t>
      </w:r>
    </w:p>
    <w:p w:rsidR="00B20811" w:rsidRDefault="00B20811">
      <w:pPr>
        <w:ind w:left="200"/>
      </w:pPr>
      <w:r>
        <w:t>Место нахождения:</w:t>
      </w:r>
      <w:r>
        <w:rPr>
          <w:rStyle w:val="Subst"/>
        </w:rPr>
        <w:t xml:space="preserve"> 119180, г. Москва, ул. Малая Полянка, д. 2</w:t>
      </w:r>
    </w:p>
    <w:p w:rsidR="00B20811" w:rsidRDefault="00B20811">
      <w:pPr>
        <w:ind w:left="200"/>
      </w:pPr>
      <w:r>
        <w:t>ИНН:</w:t>
      </w:r>
      <w:r>
        <w:rPr>
          <w:rStyle w:val="Subst"/>
        </w:rPr>
        <w:t xml:space="preserve"> 7729142599</w:t>
      </w:r>
    </w:p>
    <w:p w:rsidR="00B20811" w:rsidRDefault="00B20811">
      <w:pPr>
        <w:ind w:left="200"/>
      </w:pPr>
      <w:r>
        <w:t>ОГРН:</w:t>
      </w:r>
      <w:r>
        <w:rPr>
          <w:rStyle w:val="Subst"/>
        </w:rPr>
        <w:t xml:space="preserve"> 1027739428716</w:t>
      </w:r>
    </w:p>
    <w:p w:rsidR="00B20811" w:rsidRDefault="00B20811">
      <w:pPr>
        <w:ind w:left="200"/>
      </w:pPr>
    </w:p>
    <w:p w:rsidR="00B20811" w:rsidRDefault="00B20811">
      <w:pPr>
        <w:ind w:left="200"/>
      </w:pPr>
      <w:r>
        <w:t>Телефон:</w:t>
      </w:r>
      <w:r>
        <w:rPr>
          <w:rStyle w:val="Subst"/>
        </w:rPr>
        <w:t xml:space="preserve"> (495) 780-6250; (495) 785-9476</w:t>
      </w:r>
    </w:p>
    <w:p w:rsidR="00B20811" w:rsidRDefault="00B20811">
      <w:pPr>
        <w:ind w:left="200"/>
      </w:pPr>
      <w:r>
        <w:t>Факс:</w:t>
      </w:r>
      <w:r>
        <w:rPr>
          <w:rStyle w:val="Subst"/>
        </w:rPr>
        <w:t xml:space="preserve"> (495) 785-9461</w:t>
      </w:r>
    </w:p>
    <w:p w:rsidR="00B20811" w:rsidRDefault="00B20811">
      <w:pPr>
        <w:ind w:left="200"/>
      </w:pPr>
      <w:r>
        <w:t>Адрес электронной почты:</w:t>
      </w:r>
      <w:r>
        <w:rPr>
          <w:rStyle w:val="Subst"/>
        </w:rPr>
        <w:t xml:space="preserve"> audit@pacioli.ru</w:t>
      </w:r>
    </w:p>
    <w:p w:rsidR="00B20811" w:rsidRDefault="00B20811">
      <w:pPr>
        <w:ind w:left="200"/>
      </w:pPr>
    </w:p>
    <w:p w:rsidR="00B20811" w:rsidRDefault="00B20811">
      <w:pPr>
        <w:pStyle w:val="SubHeading"/>
        <w:ind w:left="200"/>
      </w:pPr>
      <w:r>
        <w:t>Данные о лицензии на осуществление аудиторской деятельности</w:t>
      </w:r>
    </w:p>
    <w:p w:rsidR="00B20811" w:rsidRDefault="00B20811">
      <w:pPr>
        <w:ind w:left="400"/>
      </w:pPr>
      <w:r>
        <w:t>Наименование органа, выдавшего лицензию:</w:t>
      </w:r>
      <w:r>
        <w:rPr>
          <w:rStyle w:val="Subst"/>
        </w:rPr>
        <w:t xml:space="preserve"> Министерство финансов Российской Федерации</w:t>
      </w:r>
    </w:p>
    <w:p w:rsidR="00B20811" w:rsidRDefault="00B20811">
      <w:pPr>
        <w:ind w:left="400"/>
      </w:pPr>
      <w:r>
        <w:t>Номер:</w:t>
      </w:r>
      <w:r>
        <w:rPr>
          <w:rStyle w:val="Subst"/>
        </w:rPr>
        <w:t xml:space="preserve"> Е 000733</w:t>
      </w:r>
    </w:p>
    <w:p w:rsidR="00B20811" w:rsidRDefault="00B20811">
      <w:pPr>
        <w:ind w:left="400"/>
      </w:pPr>
      <w:r>
        <w:t>Дата выдачи:</w:t>
      </w:r>
      <w:r>
        <w:rPr>
          <w:rStyle w:val="Subst"/>
        </w:rPr>
        <w:t xml:space="preserve"> 25.06.2002</w:t>
      </w:r>
    </w:p>
    <w:p w:rsidR="00B20811" w:rsidRDefault="00B20811">
      <w:pPr>
        <w:ind w:left="400"/>
      </w:pPr>
      <w:r>
        <w:t>Дата окончания действия:</w:t>
      </w:r>
      <w:r>
        <w:rPr>
          <w:rStyle w:val="Subst"/>
        </w:rPr>
        <w:t xml:space="preserve"> 25.06.2012</w:t>
      </w:r>
    </w:p>
    <w:p w:rsidR="00B20811" w:rsidRDefault="00B20811">
      <w:pPr>
        <w:pStyle w:val="SubHeading"/>
        <w:ind w:left="200"/>
      </w:pPr>
      <w:r>
        <w:t>Данные о членстве аудитора в саморегулируемых организациях аудиторов</w:t>
      </w:r>
    </w:p>
    <w:p w:rsidR="00B20811" w:rsidRDefault="00B20811">
      <w:pPr>
        <w:ind w:left="400"/>
      </w:pPr>
      <w:r>
        <w:t>Полное наименование:</w:t>
      </w:r>
      <w:r>
        <w:rPr>
          <w:rStyle w:val="Subst"/>
        </w:rPr>
        <w:t xml:space="preserve"> Некомерческое партнерство "Институт Профессиональных Аудиторов"</w:t>
      </w:r>
    </w:p>
    <w:p w:rsidR="00B20811" w:rsidRDefault="00B20811">
      <w:pPr>
        <w:pStyle w:val="SubHeading"/>
        <w:ind w:left="400"/>
      </w:pPr>
      <w:r>
        <w:t>Место нахождения</w:t>
      </w:r>
    </w:p>
    <w:p w:rsidR="00B20811" w:rsidRDefault="00B20811">
      <w:pPr>
        <w:ind w:left="600"/>
      </w:pPr>
      <w:r>
        <w:rPr>
          <w:rStyle w:val="Subst"/>
        </w:rPr>
        <w:t>117420 Россия, Москва, Наметкина 14 корп. 1 оф. 410, 419</w:t>
      </w:r>
    </w:p>
    <w:p w:rsidR="00B20811" w:rsidRDefault="00B20811">
      <w:pPr>
        <w:ind w:left="400"/>
      </w:pPr>
      <w:r>
        <w:t>Дополнительная информация:</w:t>
      </w:r>
      <w:r>
        <w:br/>
      </w:r>
      <w:r>
        <w:rPr>
          <w:rStyle w:val="Subst"/>
        </w:rPr>
        <w:t>Тел.: (495) 332-0487, тел./факс: (495) 332-0486</w:t>
      </w:r>
    </w:p>
    <w:p w:rsidR="00B20811" w:rsidRDefault="00B20811">
      <w:pPr>
        <w:ind w:left="400"/>
      </w:pPr>
    </w:p>
    <w:p w:rsidR="00B20811" w:rsidRDefault="00B20811">
      <w:pPr>
        <w:ind w:left="200"/>
      </w:pPr>
      <w:r>
        <w:t>Сведения о членстве аудитора в коллегиях, ассоциациях или иных профессиональных объединениях (организациях):</w:t>
      </w:r>
      <w:r>
        <w:br/>
      </w:r>
      <w:r>
        <w:rPr>
          <w:rStyle w:val="Subst"/>
        </w:rPr>
        <w:t>является  членом саморегулируемой организации аудиторов Некоммерческого Партнерства "Институт профессиональных Аудиторов" (НП "ИПАР")</w:t>
      </w:r>
    </w:p>
    <w:p w:rsidR="00B20811" w:rsidRDefault="00B20811">
      <w:pPr>
        <w:pStyle w:val="SubHeading"/>
        <w:ind w:left="200"/>
      </w:pPr>
      <w:r>
        <w:t>Финансовый год (годы), за который (за которые) аудитором проводилась независимая проверка бухгалтерского учета и финансовой (бухгалтерской) отчетности эмитента</w:t>
      </w:r>
    </w:p>
    <w:p w:rsidR="00B20811" w:rsidRDefault="00B20811">
      <w:pPr>
        <w:pStyle w:val="ThinDelim"/>
      </w:pPr>
    </w:p>
    <w:tbl>
      <w:tblPr>
        <w:tblW w:w="0" w:type="auto"/>
        <w:tblLayout w:type="fixed"/>
        <w:tblCellMar>
          <w:left w:w="72" w:type="dxa"/>
          <w:right w:w="72" w:type="dxa"/>
        </w:tblCellMar>
        <w:tblLook w:val="0000"/>
      </w:tblPr>
      <w:tblGrid>
        <w:gridCol w:w="1332"/>
      </w:tblGrid>
      <w:tr w:rsidR="00B20811" w:rsidRPr="00C76478">
        <w:tc>
          <w:tcPr>
            <w:tcW w:w="1332" w:type="dxa"/>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Год</w:t>
            </w:r>
          </w:p>
        </w:tc>
      </w:tr>
      <w:tr w:rsidR="00B20811" w:rsidRPr="00C76478">
        <w:tc>
          <w:tcPr>
            <w:tcW w:w="1332" w:type="dxa"/>
            <w:tcBorders>
              <w:top w:val="single" w:sz="6" w:space="0" w:color="auto"/>
              <w:left w:val="double" w:sz="6" w:space="0" w:color="auto"/>
              <w:bottom w:val="single" w:sz="6" w:space="0" w:color="auto"/>
              <w:right w:val="double" w:sz="6" w:space="0" w:color="auto"/>
            </w:tcBorders>
          </w:tcPr>
          <w:p w:rsidR="00B20811" w:rsidRPr="00C76478" w:rsidRDefault="00B20811">
            <w:pPr>
              <w:rPr>
                <w:rFonts w:eastAsiaTheme="minorEastAsia"/>
              </w:rPr>
            </w:pPr>
            <w:r w:rsidRPr="00C76478">
              <w:rPr>
                <w:rFonts w:eastAsiaTheme="minorEastAsia"/>
              </w:rPr>
              <w:t>2008</w:t>
            </w:r>
          </w:p>
        </w:tc>
      </w:tr>
      <w:tr w:rsidR="00B20811" w:rsidRPr="00C76478">
        <w:tc>
          <w:tcPr>
            <w:tcW w:w="1332" w:type="dxa"/>
            <w:tcBorders>
              <w:top w:val="single" w:sz="6" w:space="0" w:color="auto"/>
              <w:left w:val="double" w:sz="6" w:space="0" w:color="auto"/>
              <w:bottom w:val="double" w:sz="6" w:space="0" w:color="auto"/>
              <w:right w:val="double" w:sz="6" w:space="0" w:color="auto"/>
            </w:tcBorders>
          </w:tcPr>
          <w:p w:rsidR="00B20811" w:rsidRPr="00C76478" w:rsidRDefault="00B20811">
            <w:pPr>
              <w:rPr>
                <w:rFonts w:eastAsiaTheme="minorEastAsia"/>
              </w:rPr>
            </w:pPr>
            <w:r w:rsidRPr="00C76478">
              <w:rPr>
                <w:rFonts w:eastAsiaTheme="minorEastAsia"/>
              </w:rPr>
              <w:t>2009</w:t>
            </w:r>
          </w:p>
        </w:tc>
      </w:tr>
    </w:tbl>
    <w:p w:rsidR="00B20811" w:rsidRDefault="00B20811"/>
    <w:p w:rsidR="00B20811" w:rsidRDefault="00B20811">
      <w:pPr>
        <w:pStyle w:val="SubHeading"/>
        <w:ind w:left="200"/>
      </w:pPr>
      <w:r>
        <w:t>Факторы, которые могут оказать влияние на независимость аудитора от эмитента, в том числе информация о наличии существенных интересов, связывающих аудитора (должностных лиц аудитора) с эмитентом (должностными лицами эмитента)</w:t>
      </w:r>
    </w:p>
    <w:p w:rsidR="00B20811" w:rsidRDefault="00B20811">
      <w:pPr>
        <w:ind w:left="400"/>
      </w:pPr>
      <w:r>
        <w:rPr>
          <w:rStyle w:val="Subst"/>
        </w:rPr>
        <w:t>Факторов, которые могут оказать влияние на независимость аудитора от эмитента, а также существенных интересов, связывающих аудитора (должностных лиц аудитора) с эмитентом (должностными лицами эмитента), нет</w:t>
      </w:r>
    </w:p>
    <w:p w:rsidR="00B20811" w:rsidRDefault="00B20811">
      <w:pPr>
        <w:pStyle w:val="SubHeading"/>
        <w:ind w:left="200"/>
      </w:pPr>
      <w:r>
        <w:t>Порядок выбора аудитора эмитента</w:t>
      </w:r>
    </w:p>
    <w:p w:rsidR="00B20811" w:rsidRDefault="00B20811">
      <w:pPr>
        <w:ind w:left="400"/>
      </w:pPr>
      <w:r>
        <w:t>Наличие процедуры тендера, связанного с выбором аудитора, и его основные условия:</w:t>
      </w:r>
      <w:r>
        <w:br/>
      </w:r>
      <w:r>
        <w:rPr>
          <w:rStyle w:val="Subst"/>
        </w:rPr>
        <w:t>отсутствует</w:t>
      </w:r>
    </w:p>
    <w:p w:rsidR="00B20811" w:rsidRDefault="00B20811">
      <w:pPr>
        <w:ind w:left="400"/>
      </w:pPr>
      <w:r>
        <w:t>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w:t>
      </w:r>
      <w:r>
        <w:br/>
      </w:r>
      <w:r>
        <w:rPr>
          <w:rStyle w:val="Subst"/>
        </w:rPr>
        <w:t>в соответствии с Уставом Эмитента аудитор утверждается общим собранием участников.</w:t>
      </w:r>
      <w:r>
        <w:rPr>
          <w:rStyle w:val="Subst"/>
        </w:rPr>
        <w:br/>
        <w:t xml:space="preserve"> Кандидатуру аудитора на утверждение Общим собранием участников выдвигает Генеральный директор.</w:t>
      </w:r>
    </w:p>
    <w:p w:rsidR="00B20811" w:rsidRDefault="00B20811">
      <w:pPr>
        <w:ind w:left="200"/>
      </w:pPr>
      <w:r>
        <w:t>Указывается информация о работах, проводимых аудитором в рамках специальных аудиторских заданий:</w:t>
      </w:r>
      <w:r>
        <w:br/>
      </w:r>
      <w:r>
        <w:rPr>
          <w:rStyle w:val="Subst"/>
        </w:rPr>
        <w:t>работ, проводимых аудитором  в рамках специальных аудиторских заданий, не было.</w:t>
      </w:r>
    </w:p>
    <w:p w:rsidR="00B20811" w:rsidRDefault="00B20811">
      <w:pPr>
        <w:ind w:left="200"/>
      </w:pPr>
      <w:r>
        <w:t>Описывается порядок определения размера вознаграждения аудитора, указывается фактический размер вознаграждения, выплаченного эмитентом аудитору по итогам каждого из пяти последних завершенных финансовых лет, за которые аудитором проводилась независимая проверка бухгалтерского учета и финансовой (бухгалтерской) отчетности эмитента:</w:t>
      </w:r>
      <w:r>
        <w:br/>
      </w:r>
      <w:r>
        <w:rPr>
          <w:rStyle w:val="Subst"/>
        </w:rPr>
        <w:t>в соответствии с Уставом Эмитента, размер вознаграждения аудитора определяется решением общего собрания участников. Размер вознаграждения аудитору за 2008 г. и 2009 г. составил по 64900 (шестьдесят четыре тысячи девятьсот) рублей.</w:t>
      </w:r>
    </w:p>
    <w:p w:rsidR="00B20811" w:rsidRDefault="00B20811">
      <w:pPr>
        <w:ind w:left="200"/>
      </w:pPr>
      <w:r>
        <w:t xml:space="preserve">Приводится информация о наличии отсроченных и просроченных платежей за оказанные аудитором </w:t>
      </w:r>
      <w:r>
        <w:lastRenderedPageBreak/>
        <w:t>услуги:</w:t>
      </w:r>
      <w:r>
        <w:br/>
      </w:r>
      <w:r>
        <w:rPr>
          <w:rStyle w:val="Subst"/>
        </w:rPr>
        <w:t>отсутствуют</w:t>
      </w:r>
    </w:p>
    <w:p w:rsidR="00B20811" w:rsidRDefault="00B20811">
      <w:pPr>
        <w:ind w:left="200"/>
      </w:pPr>
    </w:p>
    <w:p w:rsidR="00B20811" w:rsidRDefault="00B20811">
      <w:pPr>
        <w:ind w:left="200"/>
      </w:pPr>
    </w:p>
    <w:p w:rsidR="00B20811" w:rsidRDefault="00B20811">
      <w:pPr>
        <w:pStyle w:val="2"/>
      </w:pPr>
      <w:r>
        <w:t>1.4. Сведения об оценщике (оценщиках) эмитента</w:t>
      </w:r>
    </w:p>
    <w:p w:rsidR="00B20811" w:rsidRDefault="00B20811">
      <w:pPr>
        <w:ind w:left="200"/>
      </w:pPr>
      <w:r>
        <w:rPr>
          <w:rStyle w:val="Subst"/>
        </w:rPr>
        <w:t>Оценщики эмитентом не привлекались</w:t>
      </w:r>
    </w:p>
    <w:p w:rsidR="00B20811" w:rsidRDefault="00B20811">
      <w:pPr>
        <w:pStyle w:val="2"/>
      </w:pPr>
      <w:r>
        <w:t>1.5. Сведения о консультантах эмитента</w:t>
      </w:r>
    </w:p>
    <w:p w:rsidR="00B20811" w:rsidRDefault="00B20811">
      <w:pPr>
        <w:ind w:left="200"/>
      </w:pPr>
      <w:r>
        <w:rPr>
          <w:rStyle w:val="Subst"/>
        </w:rPr>
        <w:t>Финансовые консультанты эмитентом не привлекались</w:t>
      </w:r>
    </w:p>
    <w:p w:rsidR="00B20811" w:rsidRDefault="00B20811">
      <w:pPr>
        <w:pStyle w:val="2"/>
      </w:pPr>
      <w:r>
        <w:t>1.6. Сведения об иных лицах, подписавших ежеквартальный отчет</w:t>
      </w:r>
    </w:p>
    <w:p w:rsidR="00B20811" w:rsidRDefault="00B20811">
      <w:pPr>
        <w:ind w:left="200"/>
      </w:pPr>
      <w:r>
        <w:rPr>
          <w:rStyle w:val="Subst"/>
        </w:rPr>
        <w:t>Иных подписей нет</w:t>
      </w:r>
    </w:p>
    <w:p w:rsidR="00B20811" w:rsidRDefault="00B20811">
      <w:pPr>
        <w:pStyle w:val="1"/>
      </w:pPr>
      <w:r>
        <w:t>II. Основная информация о финансово-экономическом состоянии эмитента</w:t>
      </w:r>
    </w:p>
    <w:p w:rsidR="00B20811" w:rsidRDefault="00B20811">
      <w:pPr>
        <w:pStyle w:val="2"/>
      </w:pPr>
      <w:r>
        <w:t>2.1. Показатели финансово-экономической деятельности эмитента</w:t>
      </w:r>
    </w:p>
    <w:p w:rsidR="00B20811" w:rsidRDefault="00B20811">
      <w:pPr>
        <w:ind w:left="200"/>
      </w:pPr>
      <w:r>
        <w:t>Единица измерения:</w:t>
      </w:r>
      <w:r>
        <w:rPr>
          <w:rStyle w:val="Subst"/>
        </w:rPr>
        <w:t xml:space="preserve"> руб.</w:t>
      </w:r>
    </w:p>
    <w:p w:rsidR="00B20811" w:rsidRDefault="00B20811">
      <w:pPr>
        <w:pStyle w:val="ThinDelim"/>
      </w:pPr>
    </w:p>
    <w:tbl>
      <w:tblPr>
        <w:tblW w:w="9286" w:type="dxa"/>
        <w:tblLayout w:type="fixed"/>
        <w:tblCellMar>
          <w:left w:w="72" w:type="dxa"/>
          <w:right w:w="72" w:type="dxa"/>
        </w:tblCellMar>
        <w:tblLook w:val="0000"/>
      </w:tblPr>
      <w:tblGrid>
        <w:gridCol w:w="6876"/>
        <w:gridCol w:w="1276"/>
        <w:gridCol w:w="1134"/>
      </w:tblGrid>
      <w:tr w:rsidR="00B20811" w:rsidRPr="00C76478" w:rsidTr="00B20811">
        <w:tc>
          <w:tcPr>
            <w:tcW w:w="6876"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1276"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2009, 6 мес.</w:t>
            </w:r>
          </w:p>
        </w:tc>
        <w:tc>
          <w:tcPr>
            <w:tcW w:w="1134"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2010, 6 мес.</w:t>
            </w:r>
          </w:p>
        </w:tc>
      </w:tr>
      <w:tr w:rsidR="00B20811" w:rsidRPr="00C76478" w:rsidTr="00B20811">
        <w:tc>
          <w:tcPr>
            <w:tcW w:w="6876"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Стоимость чистых активов эмитента</w:t>
            </w:r>
          </w:p>
        </w:tc>
        <w:tc>
          <w:tcPr>
            <w:tcW w:w="1276"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-2 179</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-7 503</w:t>
            </w:r>
          </w:p>
        </w:tc>
      </w:tr>
      <w:tr w:rsidR="00B20811" w:rsidRPr="00C76478" w:rsidTr="00B20811">
        <w:tc>
          <w:tcPr>
            <w:tcW w:w="6876"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Отношение суммы привлеченных средств к капиталу и резервам, %</w:t>
            </w:r>
          </w:p>
        </w:tc>
        <w:tc>
          <w:tcPr>
            <w:tcW w:w="1276"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-578.66</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-191.57</w:t>
            </w:r>
          </w:p>
        </w:tc>
      </w:tr>
      <w:tr w:rsidR="00B20811" w:rsidRPr="00C76478" w:rsidTr="00B20811">
        <w:tc>
          <w:tcPr>
            <w:tcW w:w="6876"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Отношение суммы краткосрочных обязательств к капиталу и резервам, %</w:t>
            </w:r>
          </w:p>
        </w:tc>
        <w:tc>
          <w:tcPr>
            <w:tcW w:w="1276"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-0.96</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-191.57</w:t>
            </w:r>
          </w:p>
        </w:tc>
      </w:tr>
      <w:tr w:rsidR="00B20811" w:rsidRPr="00C76478" w:rsidTr="00B20811">
        <w:tc>
          <w:tcPr>
            <w:tcW w:w="6876"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Покрытие платежей по обслуживанию долгов, %</w:t>
            </w:r>
          </w:p>
        </w:tc>
        <w:tc>
          <w:tcPr>
            <w:tcW w:w="1276"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-15 395.24</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-150.07</w:t>
            </w:r>
          </w:p>
        </w:tc>
      </w:tr>
      <w:tr w:rsidR="00B20811" w:rsidRPr="00C76478" w:rsidTr="00B20811">
        <w:tc>
          <w:tcPr>
            <w:tcW w:w="6876"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Уровень просроченной задолженности, %</w:t>
            </w:r>
          </w:p>
        </w:tc>
        <w:tc>
          <w:tcPr>
            <w:tcW w:w="1276"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12.27</w:t>
            </w:r>
          </w:p>
        </w:tc>
      </w:tr>
      <w:tr w:rsidR="00B20811" w:rsidRPr="00C76478" w:rsidTr="00B20811">
        <w:tc>
          <w:tcPr>
            <w:tcW w:w="6876"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Оборачиваемость дебиторской задолженности, раз</w:t>
            </w:r>
          </w:p>
        </w:tc>
        <w:tc>
          <w:tcPr>
            <w:tcW w:w="1276"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6876"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Доля дивидендов в прибыли, %</w:t>
            </w:r>
          </w:p>
        </w:tc>
        <w:tc>
          <w:tcPr>
            <w:tcW w:w="1276"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6876"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Производительность труда, руб./чел</w:t>
            </w:r>
          </w:p>
        </w:tc>
        <w:tc>
          <w:tcPr>
            <w:tcW w:w="1276"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6876"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Амортизация к объему выручки, %</w:t>
            </w:r>
          </w:p>
        </w:tc>
        <w:tc>
          <w:tcPr>
            <w:tcW w:w="1276"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34"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bl>
    <w:p w:rsidR="00B20811" w:rsidRDefault="00B20811"/>
    <w:p w:rsidR="00B20811" w:rsidRDefault="00B20811">
      <w:pPr>
        <w:ind w:left="200"/>
      </w:pPr>
      <w:r>
        <w:rPr>
          <w:rStyle w:val="Subst"/>
        </w:rPr>
        <w:t xml:space="preserve">В I квартале 2009 г. поручитель ЗАО "Далур" досрочно погасил облигационный заем для дальнейшего погашения Эмитентом Облигаций,  предъявленных их Владельцами к досрочному выкупу. Для полного погашения Облигационного займа Эмитент получил долгосрочный заем у поручителя в сумме 12 588 тыс.руб. С марта 2009 г. Эмитент не получает доходов, расходы же увеличиваются в связи с начислением % по займу. В II квартале 2010 г. получен убыток 2 680 тыс.руб., в связи с этим  стоимость чистых активов уменьшилась до отрицательного значения, произошло ухудшение других </w:t>
      </w:r>
      <w:r w:rsidR="00D56C38">
        <w:rPr>
          <w:rStyle w:val="Subst"/>
        </w:rPr>
        <w:t>п</w:t>
      </w:r>
      <w:r>
        <w:rPr>
          <w:rStyle w:val="Subst"/>
        </w:rPr>
        <w:t xml:space="preserve">оказателей. У Эмитента отсутствует выручка, поэтому не </w:t>
      </w:r>
      <w:r w:rsidR="00D56C38">
        <w:rPr>
          <w:rStyle w:val="Subst"/>
        </w:rPr>
        <w:t>рассчитаны</w:t>
      </w:r>
      <w:r>
        <w:rPr>
          <w:rStyle w:val="Subst"/>
        </w:rPr>
        <w:t xml:space="preserve"> показатели зависящие от этой величин</w:t>
      </w:r>
    </w:p>
    <w:p w:rsidR="00B20811" w:rsidRDefault="00B20811">
      <w:pPr>
        <w:pStyle w:val="2"/>
      </w:pPr>
      <w:r>
        <w:t>2.2. Рыночная капитализация эмитента</w:t>
      </w:r>
    </w:p>
    <w:p w:rsidR="00B20811" w:rsidRDefault="00B20811">
      <w:pPr>
        <w:ind w:left="200"/>
      </w:pPr>
      <w:r>
        <w:t>Не указывается эмитентами, обыкновенные именные акции которых не допущены к обращению организатором торговли</w:t>
      </w:r>
    </w:p>
    <w:p w:rsidR="00B20811" w:rsidRDefault="00B20811">
      <w:pPr>
        <w:pStyle w:val="2"/>
      </w:pPr>
      <w:r>
        <w:t>2.3. Обязательства эмитента</w:t>
      </w:r>
    </w:p>
    <w:p w:rsidR="00B20811" w:rsidRDefault="00B20811">
      <w:pPr>
        <w:pStyle w:val="2"/>
      </w:pPr>
      <w:r>
        <w:t>2.3.1. Кредиторская задолженность</w:t>
      </w:r>
    </w:p>
    <w:p w:rsidR="00B20811" w:rsidRDefault="00B20811">
      <w:pPr>
        <w:pStyle w:val="2"/>
        <w:ind w:left="200"/>
      </w:pPr>
      <w:r>
        <w:t>Структура кредиторской задолженности эмитента</w:t>
      </w:r>
    </w:p>
    <w:p w:rsidR="00B20811" w:rsidRDefault="00B20811">
      <w:pPr>
        <w:pStyle w:val="SubHeading"/>
        <w:ind w:left="200"/>
      </w:pPr>
      <w:r>
        <w:t>За 6 мес. 2010 г.</w:t>
      </w:r>
    </w:p>
    <w:p w:rsidR="00B20811" w:rsidRDefault="00B20811">
      <w:pPr>
        <w:ind w:left="400"/>
      </w:pPr>
      <w:r>
        <w:lastRenderedPageBreak/>
        <w:t>Единица измерения:</w:t>
      </w:r>
      <w:r>
        <w:rPr>
          <w:rStyle w:val="Subst"/>
        </w:rPr>
        <w:t xml:space="preserve"> тыс. руб.</w:t>
      </w:r>
    </w:p>
    <w:p w:rsidR="00B20811" w:rsidRDefault="00B20811">
      <w:pPr>
        <w:pStyle w:val="ThinDelim"/>
      </w:pPr>
    </w:p>
    <w:tbl>
      <w:tblPr>
        <w:tblW w:w="0" w:type="auto"/>
        <w:tblLayout w:type="fixed"/>
        <w:tblCellMar>
          <w:left w:w="72" w:type="dxa"/>
          <w:right w:w="72" w:type="dxa"/>
        </w:tblCellMar>
        <w:tblLook w:val="0000"/>
      </w:tblPr>
      <w:tblGrid>
        <w:gridCol w:w="6492"/>
        <w:gridCol w:w="1360"/>
        <w:gridCol w:w="1400"/>
      </w:tblGrid>
      <w:tr w:rsidR="00B20811" w:rsidRPr="00C76478">
        <w:tc>
          <w:tcPr>
            <w:tcW w:w="649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кредиторской задолженности</w:t>
            </w:r>
          </w:p>
        </w:tc>
        <w:tc>
          <w:tcPr>
            <w:tcW w:w="2760" w:type="dxa"/>
            <w:gridSpan w:val="2"/>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Срок наступления платежа</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До 1 года</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Свыше 1 года</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Кредиторская задолженность перед поставщиками и подрядчиками</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4</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3</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Кредиторская задолженность перед персоналом организации</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15</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rsidP="00B20811">
            <w:pPr>
              <w:jc w:val="right"/>
              <w:rPr>
                <w:rFonts w:eastAsiaTheme="minorEastAsia"/>
              </w:rPr>
            </w:pPr>
            <w:r w:rsidRPr="00C76478">
              <w:rPr>
                <w:rFonts w:eastAsiaTheme="minorEastAsia"/>
              </w:rPr>
              <w:t>0</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Кредиторская задолженность перед бюджетом и государственными внебюджетными фондами</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6</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rsidP="00B20811">
            <w:pPr>
              <w:jc w:val="right"/>
              <w:rPr>
                <w:rFonts w:eastAsiaTheme="minorEastAsia"/>
              </w:rPr>
            </w:pPr>
            <w:r w:rsidRPr="00C76478">
              <w:rPr>
                <w:rFonts w:eastAsiaTheme="minorEastAsia"/>
              </w:rPr>
              <w:t>0</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Кредиты</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rsidP="00B20811">
            <w:pPr>
              <w:jc w:val="right"/>
              <w:rPr>
                <w:rFonts w:eastAsiaTheme="minorEastAsia"/>
              </w:rPr>
            </w:pPr>
            <w:r w:rsidRPr="00C76478">
              <w:rPr>
                <w:rFonts w:eastAsiaTheme="minorEastAsia"/>
              </w:rPr>
              <w:t>0</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просроченные</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Займы, всего</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12 588</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итого просроченные</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облигационные займы</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rsidP="00B20811">
            <w:pPr>
              <w:jc w:val="right"/>
              <w:rPr>
                <w:rFonts w:eastAsiaTheme="minorEastAsia"/>
              </w:rPr>
            </w:pPr>
            <w:r w:rsidRPr="00C76478">
              <w:rPr>
                <w:rFonts w:eastAsiaTheme="minorEastAsia"/>
              </w:rPr>
              <w:t>0</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просроченные облигационные займы</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Прочая кредиторская задолженность</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1 761</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rsidP="00B20811">
            <w:pPr>
              <w:jc w:val="right"/>
              <w:rPr>
                <w:rFonts w:eastAsiaTheme="minorEastAsia"/>
              </w:rPr>
            </w:pPr>
            <w:r w:rsidRPr="00C76478">
              <w:rPr>
                <w:rFonts w:eastAsiaTheme="minorEastAsia"/>
              </w:rPr>
              <w:t>0</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1 761</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14 374</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rsidP="00B20811">
            <w:pPr>
              <w:jc w:val="right"/>
              <w:rPr>
                <w:rFonts w:eastAsiaTheme="minorEastAsia"/>
              </w:rPr>
            </w:pPr>
            <w:r w:rsidRPr="00C76478">
              <w:rPr>
                <w:rFonts w:eastAsiaTheme="minorEastAsia"/>
              </w:rPr>
              <w:t>0</w:t>
            </w:r>
          </w:p>
        </w:tc>
      </w:tr>
      <w:tr w:rsidR="00B20811" w:rsidRPr="00C76478">
        <w:tc>
          <w:tcPr>
            <w:tcW w:w="64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просрочено</w:t>
            </w:r>
          </w:p>
        </w:tc>
        <w:tc>
          <w:tcPr>
            <w:tcW w:w="1360"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1 764</w:t>
            </w:r>
          </w:p>
        </w:tc>
        <w:tc>
          <w:tcPr>
            <w:tcW w:w="1400" w:type="dxa"/>
            <w:tcBorders>
              <w:top w:val="single" w:sz="6" w:space="0" w:color="auto"/>
              <w:left w:val="single" w:sz="6" w:space="0" w:color="auto"/>
              <w:bottom w:val="doub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bl>
    <w:p w:rsidR="00B20811" w:rsidRDefault="00B20811"/>
    <w:p w:rsidR="00B20811" w:rsidRDefault="00B20811">
      <w:pPr>
        <w:ind w:left="400"/>
      </w:pPr>
      <w:r>
        <w:t>При наличии просроченной кредиторской задолженности, в том числе по кредитным договорам или договорам займа, а также по выпущенным эмитентом долговым ценным бумагам (облигациям, векселям, другим), указываются причины неисполнения и последствия, которые наступили или могут наступить в будущем для эмитента вследствие указанных неисполненных обязательств, в том числе санкции, налагаемые на эмитента, и срок (предполагаемый срок) погашения просроченной кредиторской задолженности:</w:t>
      </w:r>
    </w:p>
    <w:p w:rsidR="00B20811" w:rsidRDefault="00B20811">
      <w:pPr>
        <w:ind w:left="400"/>
      </w:pPr>
      <w:r>
        <w:rPr>
          <w:rStyle w:val="Subst"/>
        </w:rPr>
        <w:t>В I квартале 2010 г. долгосрочная задолженность по займу ЗАО "Далур"  согласно учетной политике Эмитента (до возврата суммы долга остается меньше 365 дней)  переведена в краткосрочную в сумме 12 588 тыс.руб. В общем объеме краткосрочной задолженности значительную долю занимает сумма долга по займу и процентов к уплате по нему (99,8 %) ЗАО "Далур".</w:t>
      </w:r>
    </w:p>
    <w:p w:rsidR="00B20811" w:rsidRDefault="00B20811">
      <w:pPr>
        <w:pStyle w:val="SubHeading"/>
        <w:ind w:left="400"/>
      </w:pPr>
      <w:r>
        <w:t>Кредиторы, на долю которых приходится не менее 10 процентов от общей суммы кредиторской задолженности</w:t>
      </w:r>
    </w:p>
    <w:p w:rsidR="00B20811" w:rsidRDefault="00B20811">
      <w:pPr>
        <w:ind w:left="600"/>
      </w:pPr>
      <w:r>
        <w:t>Полное фирменное наименование:</w:t>
      </w:r>
      <w:r>
        <w:rPr>
          <w:rStyle w:val="Subst"/>
        </w:rPr>
        <w:t xml:space="preserve"> Закрытое акционерное общество "Далур"</w:t>
      </w:r>
    </w:p>
    <w:p w:rsidR="00B20811" w:rsidRDefault="00B20811">
      <w:pPr>
        <w:ind w:left="600"/>
      </w:pPr>
      <w:r>
        <w:t>Сокращенное фирменное наименование:</w:t>
      </w:r>
      <w:r>
        <w:rPr>
          <w:rStyle w:val="Subst"/>
        </w:rPr>
        <w:t xml:space="preserve"> ЗАО "Далур"</w:t>
      </w:r>
    </w:p>
    <w:p w:rsidR="00B20811" w:rsidRDefault="00B20811">
      <w:pPr>
        <w:ind w:left="600"/>
      </w:pPr>
      <w:r>
        <w:t>Место нахождения:</w:t>
      </w:r>
      <w:r>
        <w:rPr>
          <w:rStyle w:val="Subst"/>
        </w:rPr>
        <w:t xml:space="preserve"> 641750, Российская Федерация, Курганская область, Далматовский район, село Уксянское, ул. Ленина, дом 42.</w:t>
      </w:r>
    </w:p>
    <w:p w:rsidR="00B20811" w:rsidRDefault="00B20811">
      <w:pPr>
        <w:ind w:left="600"/>
      </w:pPr>
      <w:r>
        <w:t>ИНН:</w:t>
      </w:r>
      <w:r>
        <w:rPr>
          <w:rStyle w:val="Subst"/>
        </w:rPr>
        <w:t xml:space="preserve"> 4506004751</w:t>
      </w:r>
    </w:p>
    <w:p w:rsidR="00B20811" w:rsidRDefault="00B20811">
      <w:pPr>
        <w:ind w:left="600"/>
      </w:pPr>
      <w:r>
        <w:t>ОГРН:</w:t>
      </w:r>
      <w:r>
        <w:rPr>
          <w:rStyle w:val="Subst"/>
        </w:rPr>
        <w:t xml:space="preserve"> 1024501452140</w:t>
      </w:r>
    </w:p>
    <w:p w:rsidR="00B20811" w:rsidRDefault="00B20811">
      <w:pPr>
        <w:ind w:left="600"/>
      </w:pPr>
    </w:p>
    <w:p w:rsidR="00B20811" w:rsidRDefault="00B20811">
      <w:pPr>
        <w:ind w:left="600"/>
      </w:pPr>
      <w:r>
        <w:t>Сумма кредиторской задолженности, руб.:</w:t>
      </w:r>
      <w:r>
        <w:rPr>
          <w:rStyle w:val="Subst"/>
        </w:rPr>
        <w:t xml:space="preserve"> 14 374 030</w:t>
      </w:r>
    </w:p>
    <w:p w:rsidR="00B20811" w:rsidRDefault="00B20811">
      <w:pPr>
        <w:ind w:left="600"/>
      </w:pPr>
      <w:r>
        <w:t>Размер и условия просроченной кредиторской задолженности (процентная ставка, штрафные санкции, пени):</w:t>
      </w:r>
      <w:r>
        <w:br/>
      </w:r>
      <w:r>
        <w:rPr>
          <w:rStyle w:val="Subst"/>
        </w:rPr>
        <w:t>Просроченная задолженность в сумме 1 764 тыс.руб. возникла перед ЗАО "Далур"  в результате неуплаты суммы  3 тыс.руб.( за 6 месяца) по договору аре</w:t>
      </w:r>
      <w:r w:rsidR="00674AB8">
        <w:rPr>
          <w:rStyle w:val="Subst"/>
        </w:rPr>
        <w:t>н</w:t>
      </w:r>
      <w:r>
        <w:rPr>
          <w:rStyle w:val="Subst"/>
        </w:rPr>
        <w:t>ды нежилого помещения  , и неуплаты процентов за пользование займом в сумме 1 761 тыс.руб. ( за 9 месяцев). Штрафные санкции не применялись.</w:t>
      </w:r>
    </w:p>
    <w:p w:rsidR="00B20811" w:rsidRDefault="00B20811">
      <w:pPr>
        <w:ind w:left="600"/>
      </w:pPr>
      <w:r>
        <w:t>Кредитор является аффилированным лицом эмитента:</w:t>
      </w:r>
      <w:r>
        <w:rPr>
          <w:rStyle w:val="Subst"/>
        </w:rPr>
        <w:t xml:space="preserve"> Да</w:t>
      </w:r>
    </w:p>
    <w:p w:rsidR="00B20811" w:rsidRDefault="00B20811">
      <w:pPr>
        <w:ind w:left="600"/>
      </w:pPr>
      <w:r>
        <w:t>Доля эмитента в уставном капитале лица, %:</w:t>
      </w:r>
      <w:r>
        <w:rPr>
          <w:rStyle w:val="Subst"/>
        </w:rPr>
        <w:t xml:space="preserve"> 0</w:t>
      </w:r>
    </w:p>
    <w:p w:rsidR="00B20811" w:rsidRDefault="00B20811">
      <w:pPr>
        <w:ind w:left="600"/>
      </w:pPr>
      <w:r>
        <w:t>Доля обыкновенных акций лица, принадлежащих эмитенту, %:</w:t>
      </w:r>
      <w:r>
        <w:rPr>
          <w:rStyle w:val="Subst"/>
        </w:rPr>
        <w:t xml:space="preserve"> 0</w:t>
      </w:r>
    </w:p>
    <w:p w:rsidR="00B20811" w:rsidRDefault="00B20811">
      <w:pPr>
        <w:ind w:left="600"/>
      </w:pPr>
      <w:r>
        <w:lastRenderedPageBreak/>
        <w:t>Доля участия лица в уставном капитале эмитента, %:</w:t>
      </w:r>
      <w:r>
        <w:rPr>
          <w:rStyle w:val="Subst"/>
        </w:rPr>
        <w:t xml:space="preserve"> 100</w:t>
      </w:r>
    </w:p>
    <w:p w:rsidR="00B20811" w:rsidRDefault="00B20811">
      <w:pPr>
        <w:ind w:left="600"/>
      </w:pPr>
    </w:p>
    <w:p w:rsidR="00B20811" w:rsidRDefault="00B20811">
      <w:pPr>
        <w:pStyle w:val="2"/>
      </w:pPr>
      <w:r>
        <w:t>2.3.2. Кредитная история эмитента</w:t>
      </w:r>
    </w:p>
    <w:p w:rsidR="00B20811" w:rsidRDefault="00B20811">
      <w:pPr>
        <w:ind w:left="200"/>
      </w:pPr>
      <w:r>
        <w:t>Исполнение эмитентом обязательств по действовавшим в течение 5 последних завершенных финансовых лет либо за каждый завершенный финансовый год, если эмитент осуществляет свою деятельность менее 5 лет, и действующим на дату окончания отчетного квартала кредитным договорам и/или договорам займа, сумма основного долга по которым составляет 5 и более процентов балансовой стоимости активов эмитента на дату последнего завершенного отчетного квартала, предшествующего заключению соответствующего договора, а также иным кредитным договорам и/или договорам займа, которые эмитент считает для себя существенными.</w:t>
      </w:r>
      <w:r>
        <w:br/>
        <w:t>В случае, если эмитентом осуществлялась эмиссия облигаций, описывается исполнение эмитентом обязательств по каждому выпуску облигаций, совокупная номинальная стоимость которых составляет 5 и более процентов балансовой стоимости активов эмитента на дату окончания последнего завершенного квартала, предшествующего государственной регистрации отчета об итогах выпуска облигаций, а в случае, если размещение облигаций не завершено или по иным причинам не осуществлена государственная регистрация отчета об итогах их выпуска, - на дату окончания последнего завершенного квартала, предшествующего государственной регистрации выпуска облигаций</w:t>
      </w:r>
    </w:p>
    <w:p w:rsidR="00B20811" w:rsidRDefault="00B20811">
      <w:pPr>
        <w:pStyle w:val="ThinDelim"/>
      </w:pPr>
    </w:p>
    <w:tbl>
      <w:tblPr>
        <w:tblW w:w="0" w:type="auto"/>
        <w:tblLayout w:type="fixed"/>
        <w:tblCellMar>
          <w:left w:w="72" w:type="dxa"/>
          <w:right w:w="72" w:type="dxa"/>
        </w:tblCellMar>
        <w:tblLook w:val="0000"/>
      </w:tblPr>
      <w:tblGrid>
        <w:gridCol w:w="1772"/>
        <w:gridCol w:w="1700"/>
        <w:gridCol w:w="1500"/>
        <w:gridCol w:w="880"/>
        <w:gridCol w:w="1700"/>
        <w:gridCol w:w="1700"/>
      </w:tblGrid>
      <w:tr w:rsidR="00B20811" w:rsidRPr="00C76478">
        <w:tc>
          <w:tcPr>
            <w:tcW w:w="177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обязательства</w:t>
            </w:r>
          </w:p>
        </w:tc>
        <w:tc>
          <w:tcPr>
            <w:tcW w:w="170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кредитора (займодавца)</w:t>
            </w:r>
          </w:p>
        </w:tc>
        <w:tc>
          <w:tcPr>
            <w:tcW w:w="150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Сумма основного долга</w:t>
            </w:r>
          </w:p>
        </w:tc>
        <w:tc>
          <w:tcPr>
            <w:tcW w:w="88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Валюта</w:t>
            </w:r>
          </w:p>
        </w:tc>
        <w:tc>
          <w:tcPr>
            <w:tcW w:w="170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Срок кредита (займа) / срок погашения</w:t>
            </w:r>
          </w:p>
        </w:tc>
        <w:tc>
          <w:tcPr>
            <w:tcW w:w="1700"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Наличие просрочки исполнения обязательства в части выплаты суммы основного долга и/или установленных процентов, срок просрочки, дней</w:t>
            </w:r>
          </w:p>
        </w:tc>
      </w:tr>
      <w:tr w:rsidR="00B20811" w:rsidRPr="00C76478">
        <w:tc>
          <w:tcPr>
            <w:tcW w:w="177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Облигационный заем</w:t>
            </w:r>
          </w:p>
        </w:tc>
        <w:tc>
          <w:tcPr>
            <w:tcW w:w="170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Владельцы облигаций</w:t>
            </w:r>
          </w:p>
        </w:tc>
        <w:tc>
          <w:tcPr>
            <w:tcW w:w="15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520 000</w:t>
            </w:r>
          </w:p>
        </w:tc>
        <w:tc>
          <w:tcPr>
            <w:tcW w:w="8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RUR</w:t>
            </w:r>
          </w:p>
        </w:tc>
        <w:tc>
          <w:tcPr>
            <w:tcW w:w="170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12.02.2008/04.02.2013</w:t>
            </w:r>
          </w:p>
        </w:tc>
        <w:tc>
          <w:tcPr>
            <w:tcW w:w="170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r w:rsidRPr="00C76478">
              <w:rPr>
                <w:rFonts w:eastAsiaTheme="minorEastAsia"/>
              </w:rPr>
              <w:t>Отсутствует</w:t>
            </w:r>
          </w:p>
        </w:tc>
      </w:tr>
      <w:tr w:rsidR="00B20811" w:rsidRPr="00C76478">
        <w:tc>
          <w:tcPr>
            <w:tcW w:w="177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Краткосрочный заем</w:t>
            </w:r>
          </w:p>
        </w:tc>
        <w:tc>
          <w:tcPr>
            <w:tcW w:w="170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ЗАО "Далур"</w:t>
            </w:r>
          </w:p>
        </w:tc>
        <w:tc>
          <w:tcPr>
            <w:tcW w:w="1500"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12 588</w:t>
            </w:r>
          </w:p>
        </w:tc>
        <w:tc>
          <w:tcPr>
            <w:tcW w:w="88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RUR</w:t>
            </w:r>
          </w:p>
        </w:tc>
        <w:tc>
          <w:tcPr>
            <w:tcW w:w="170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12.02.2009/20.01.2011</w:t>
            </w:r>
          </w:p>
        </w:tc>
        <w:tc>
          <w:tcPr>
            <w:tcW w:w="170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r w:rsidRPr="00C76478">
              <w:rPr>
                <w:rFonts w:eastAsiaTheme="minorEastAsia"/>
              </w:rPr>
              <w:t>Отсутствует</w:t>
            </w:r>
          </w:p>
        </w:tc>
      </w:tr>
    </w:tbl>
    <w:p w:rsidR="00B20811" w:rsidRDefault="00B20811"/>
    <w:p w:rsidR="00B20811" w:rsidRDefault="00B20811">
      <w:pPr>
        <w:ind w:left="200"/>
      </w:pPr>
      <w:r>
        <w:rPr>
          <w:rStyle w:val="Subst"/>
        </w:rPr>
        <w:t>Эмитентом был размещен облигационный заем со следующими параметрами:</w:t>
      </w:r>
      <w:r>
        <w:rPr>
          <w:rStyle w:val="Subst"/>
        </w:rPr>
        <w:br/>
        <w:t>1) документарные неконвертируемые процентные облигации на предъявителя серии 01 с обязательным централизованным хранением в количестве 520 000 (Пятьсот двадцать тысяч) штук, номинальной стоимостью 1 000 (Одна тысяча) рублей каждая, со сроком погашения в 1820-й день с даты начала размещения облигаций выпуска,</w:t>
      </w:r>
      <w:r>
        <w:rPr>
          <w:rStyle w:val="Subst"/>
        </w:rPr>
        <w:br/>
        <w:t>способ размещения – открытая подписка.</w:t>
      </w:r>
      <w:r>
        <w:rPr>
          <w:rStyle w:val="Subst"/>
        </w:rPr>
        <w:br/>
        <w:t>дата начала размещения – 12 февраля 2008 года</w:t>
      </w:r>
      <w:r>
        <w:rPr>
          <w:rStyle w:val="Subst"/>
        </w:rPr>
        <w:br/>
        <w:t>дата окончания размещения –  12 февраля 2008 года.</w:t>
      </w:r>
      <w:r>
        <w:rPr>
          <w:rStyle w:val="Subst"/>
        </w:rPr>
        <w:br/>
        <w:t>условия обеспечения: поручительство.</w:t>
      </w:r>
      <w:r>
        <w:rPr>
          <w:rStyle w:val="Subst"/>
        </w:rPr>
        <w:br/>
        <w:t xml:space="preserve">Период, за который выплачивались доходы по облигациям выпуска: </w:t>
      </w:r>
      <w:r>
        <w:rPr>
          <w:rStyle w:val="Subst"/>
        </w:rPr>
        <w:br/>
        <w:t>1)</w:t>
      </w:r>
      <w:r>
        <w:rPr>
          <w:rStyle w:val="Subst"/>
        </w:rPr>
        <w:tab/>
        <w:t>с 12.02.2008 года  по 12.08.2008 года – первый купонный период;</w:t>
      </w:r>
      <w:r>
        <w:rPr>
          <w:rStyle w:val="Subst"/>
        </w:rPr>
        <w:br/>
        <w:t>2)</w:t>
      </w:r>
      <w:r>
        <w:rPr>
          <w:rStyle w:val="Subst"/>
        </w:rPr>
        <w:tab/>
        <w:t>с 12.08.2008 года  по 10.02.2009 года – второй купонный период;</w:t>
      </w:r>
      <w:r>
        <w:rPr>
          <w:rStyle w:val="Subst"/>
        </w:rPr>
        <w:br/>
        <w:t>3)</w:t>
      </w:r>
      <w:r>
        <w:rPr>
          <w:rStyle w:val="Subst"/>
        </w:rPr>
        <w:tab/>
        <w:t>с 10.02.2009 года  по 17.02.2009 года – третий купонный период</w:t>
      </w:r>
      <w:r>
        <w:rPr>
          <w:rStyle w:val="Subst"/>
        </w:rPr>
        <w:br/>
      </w:r>
      <w:r>
        <w:rPr>
          <w:rStyle w:val="Subst"/>
        </w:rPr>
        <w:br/>
        <w:t xml:space="preserve">Общий размер доходов, выплаченных по всем облигациям выпуска по каждому периоду, за который такой доход выплачивался: </w:t>
      </w:r>
      <w:r>
        <w:rPr>
          <w:rStyle w:val="Subst"/>
        </w:rPr>
        <w:br/>
        <w:t>1)</w:t>
      </w:r>
      <w:r>
        <w:rPr>
          <w:rStyle w:val="Subst"/>
        </w:rPr>
        <w:tab/>
        <w:t>Первый купонный доход – 33 576 400 (Тридцать три миллиона пятьсот семьдесят шесть тысяч четыреста) рублей;</w:t>
      </w:r>
      <w:r>
        <w:rPr>
          <w:rStyle w:val="Subst"/>
        </w:rPr>
        <w:br/>
        <w:t>2)</w:t>
      </w:r>
      <w:r>
        <w:rPr>
          <w:rStyle w:val="Subst"/>
        </w:rPr>
        <w:tab/>
        <w:t>Второй купонный доход – 33 576 400 (Тридцать три миллиона пятьсот семьдесят шесть тысяч четыреста) рублей;</w:t>
      </w:r>
      <w:r>
        <w:rPr>
          <w:rStyle w:val="Subst"/>
        </w:rPr>
        <w:br/>
        <w:t>3)</w:t>
      </w:r>
      <w:r>
        <w:rPr>
          <w:rStyle w:val="Subst"/>
        </w:rPr>
        <w:tab/>
        <w:t>Третий купонный доход – 1 393 600 (Один миллион триста девяносто три тысячи шестьсот) рублей.</w:t>
      </w:r>
      <w:r>
        <w:rPr>
          <w:rStyle w:val="Subst"/>
        </w:rPr>
        <w:br/>
        <w:t xml:space="preserve">Эмитент 12 февраля 2009 г. получил долгосрочный заем у поручителя в сумме 12 588 тыс. руб. В феврале 2010 г. долгосрочная задолженность по займу ЗАО "Далур"  согласно учетной политике Эмитента (до возврата суммы долга остается меньше 365 дней)  переведена в краткосрочную в </w:t>
      </w:r>
      <w:r>
        <w:rPr>
          <w:rStyle w:val="Subst"/>
        </w:rPr>
        <w:lastRenderedPageBreak/>
        <w:t>сумме 12 588 тыс.руб.</w:t>
      </w:r>
    </w:p>
    <w:p w:rsidR="00B20811" w:rsidRDefault="00B20811">
      <w:pPr>
        <w:pStyle w:val="2"/>
      </w:pPr>
      <w:r>
        <w:t>2.3.3. Обязательства эмитента из обеспечения, предоставленного третьим лицам</w:t>
      </w:r>
    </w:p>
    <w:p w:rsidR="00B20811" w:rsidRDefault="00B20811">
      <w:pPr>
        <w:ind w:left="200"/>
      </w:pPr>
      <w:r>
        <w:rPr>
          <w:rStyle w:val="Subst"/>
        </w:rPr>
        <w:t>Указанные обязательства отсутствуют</w:t>
      </w:r>
    </w:p>
    <w:p w:rsidR="00B20811" w:rsidRDefault="00B20811">
      <w:pPr>
        <w:pStyle w:val="2"/>
      </w:pPr>
      <w:r>
        <w:t>2.3.4. Прочие обязательства эмитента</w:t>
      </w:r>
    </w:p>
    <w:p w:rsidR="00B20811" w:rsidRDefault="00B20811">
      <w:pPr>
        <w:ind w:left="200"/>
      </w:pPr>
      <w:r>
        <w:rPr>
          <w:rStyle w:val="Subst"/>
        </w:rPr>
        <w:t>Прочих обязательств, не отраженных в бухгалтерском балансе,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расходов, не имеется</w:t>
      </w:r>
    </w:p>
    <w:p w:rsidR="00B20811" w:rsidRDefault="00B20811">
      <w:pPr>
        <w:pStyle w:val="2"/>
      </w:pPr>
      <w:r>
        <w:t>2.4. Цели эмиссии и направления использования средств, полученных в результате размещения эмиссионных ценных бумаг</w:t>
      </w:r>
    </w:p>
    <w:p w:rsidR="00B20811" w:rsidRDefault="00B20811">
      <w:pPr>
        <w:ind w:left="200"/>
      </w:pPr>
      <w:r>
        <w:rPr>
          <w:rStyle w:val="Subst"/>
        </w:rPr>
        <w:t>В отчетном квартале эмитентом не осуществлялось размещение ценных бумаг путем подписки</w:t>
      </w:r>
    </w:p>
    <w:p w:rsidR="00B20811" w:rsidRDefault="00B20811">
      <w:pPr>
        <w:pStyle w:val="2"/>
      </w:pPr>
      <w:r>
        <w:t>2.5. Риски, связанные с приобретением размещаемых (размещенных) эмиссионных ценных бумаг</w:t>
      </w:r>
    </w:p>
    <w:p w:rsidR="00B20811" w:rsidRDefault="00B20811">
      <w:pPr>
        <w:ind w:left="200"/>
      </w:pPr>
      <w:r>
        <w:t>Политика эмитента в области управления рисками:</w:t>
      </w:r>
      <w:r>
        <w:br/>
      </w:r>
      <w:r>
        <w:rPr>
          <w:rStyle w:val="Subst"/>
        </w:rPr>
        <w:t>Инвестиции в ценные бумаги Эмитента связаны с определенной степенью риска. В этой связи  потенциальные инвесторы при принятии инвестиционных решений должны тщательно изучить нижеприведенные факторы риска. Вместе с тем, положения данного раздела не заменяют собственного анализа рисков инвестирования со стороны приобретателей Облигаций. Эмитент не может гарантировать, что указываемые факторы риска являются полными и исчерпывающими для принятия решения о приобретении Облигаций</w:t>
      </w:r>
      <w:r>
        <w:rPr>
          <w:rStyle w:val="Subst"/>
        </w:rPr>
        <w:br/>
      </w:r>
      <w:r>
        <w:rPr>
          <w:rStyle w:val="Subst"/>
        </w:rPr>
        <w:br/>
        <w:t>Ниже приводится подробный анализ факторов риска, связанных с приобретением размещаемых эмиссионных ценных бумаг, в частности:</w:t>
      </w:r>
      <w:r>
        <w:rPr>
          <w:rStyle w:val="Subst"/>
        </w:rPr>
        <w:br/>
        <w:t>отраслевые риски;</w:t>
      </w:r>
      <w:r>
        <w:rPr>
          <w:rStyle w:val="Subst"/>
        </w:rPr>
        <w:br/>
        <w:t>страновые и региональные риски;</w:t>
      </w:r>
      <w:r>
        <w:rPr>
          <w:rStyle w:val="Subst"/>
        </w:rPr>
        <w:br/>
        <w:t>финансовые риски;</w:t>
      </w:r>
      <w:r>
        <w:rPr>
          <w:rStyle w:val="Subst"/>
        </w:rPr>
        <w:br/>
        <w:t>правовые риски;</w:t>
      </w:r>
      <w:r>
        <w:rPr>
          <w:rStyle w:val="Subst"/>
        </w:rPr>
        <w:br/>
        <w:t>риски, связанные с деятельностью эмитента.</w:t>
      </w:r>
      <w:r>
        <w:rPr>
          <w:rStyle w:val="Subst"/>
        </w:rPr>
        <w:br/>
        <w:t xml:space="preserve">Политика эмитента в области управления рисками: </w:t>
      </w:r>
      <w:r>
        <w:rPr>
          <w:rStyle w:val="Subst"/>
        </w:rPr>
        <w:br/>
        <w:t>Эмитент не разрабатывал отдельного внутреннего документа, описывающего его политику в области управления рисками, однако органы управления эмитента прикладывают максимальные усилия в целях минимизации воздействия факторов риска на текущую и будущую деятельность Эмитента, адекватно и своевременно реагируя на изменения текущей и прогнозируемой ситуации.</w:t>
      </w:r>
      <w:r>
        <w:rPr>
          <w:rStyle w:val="Subst"/>
        </w:rPr>
        <w:br/>
        <w:t>В случае возникновения одного или нескольких перечисленных ниже рисков Эмитент предпримет все возможные меры по ограничению их негативного влияния. Определение в настоящее время конкретных действий Эмитента при наступлении какого-либо из перечисленных в факторах риска событий не представляется возможным, так как разработка адекватных соответствующим событиям мер затруднена неопределенностью развития ситуации в будущем. Параметры проводимых мероприятий будут зависеть от особенностей создавшейся ситуации в каждом конкретном случае. При этом Эмитент не может гарантировать, что действия, направленные на преодоление возникших негативных изменений, приведут к существенному изменению ситуации.</w:t>
      </w:r>
    </w:p>
    <w:p w:rsidR="00B20811" w:rsidRDefault="00B20811">
      <w:pPr>
        <w:pStyle w:val="2"/>
      </w:pPr>
      <w:r>
        <w:t>2.5.1. Отраслевые риски</w:t>
      </w:r>
    </w:p>
    <w:p w:rsidR="00B20811" w:rsidRDefault="00B20811">
      <w:pPr>
        <w:ind w:left="200"/>
      </w:pPr>
      <w:r>
        <w:rPr>
          <w:rStyle w:val="Subst"/>
        </w:rPr>
        <w:t>С момента создания Эмитента хозяйственная деятельность им не осуществлялась. В будущем Эмитент предполагает привлечение денежных средств на российском фондовом рынке посредством выпуска рублевых корпоративных облигаций и направление инвестиций, путем предоставления займов Закрытому акционерному обществу «Далур», предоставившему обеспечение для выпуска Облигаций (Поручитель).</w:t>
      </w:r>
      <w:r>
        <w:rPr>
          <w:rStyle w:val="Subst"/>
        </w:rPr>
        <w:br/>
      </w:r>
      <w:r>
        <w:rPr>
          <w:rStyle w:val="Subst"/>
        </w:rPr>
        <w:br/>
        <w:t>Влияние возможного ухудшения ситуации в отрасли эмитента на его деятельность и исполнение обязательств по ценным бумагам: Эмитент предполагает привлечение денежных средств на российском фондовом рынке посредством выпуска рублевых корпоративных облигаций.</w:t>
      </w:r>
      <w:r>
        <w:rPr>
          <w:rStyle w:val="Subst"/>
        </w:rPr>
        <w:br/>
        <w:t xml:space="preserve">Финансовая  деятельность, в том числе операции с ценными бумагами относятся к видам деятельности, связанным с высоким уровнем риска. Однако предоставление долгового </w:t>
      </w:r>
      <w:r>
        <w:rPr>
          <w:rStyle w:val="Subst"/>
        </w:rPr>
        <w:lastRenderedPageBreak/>
        <w:t>финансирования на возвратной основе (в форме займов или приобретения векселей) в целом признается менее рискованной по сравнению с приобретением акций. К числу основных рисков, с которыми может столкнуться Эмитент в процессе своей деятельности, относятся:</w:t>
      </w:r>
      <w:r>
        <w:rPr>
          <w:rStyle w:val="Subst"/>
        </w:rPr>
        <w:br/>
        <w:t>- ухудшение финансового состояния Эмитента и Поручителя (Закрытого акционерного общества «Далур»), которое негативно отразится на способности последнего обслуживать долговые обязательства;</w:t>
      </w:r>
      <w:r>
        <w:rPr>
          <w:rStyle w:val="Subst"/>
        </w:rPr>
        <w:br/>
        <w:t>- несовпадение сроков и стоимости заимствований между выпущенными Эмитентом Облигациями и заемными средствами, предоставленными Закрытому акционерному обществу «Далур».</w:t>
      </w:r>
      <w:r>
        <w:rPr>
          <w:rStyle w:val="Subst"/>
        </w:rPr>
        <w:br/>
      </w:r>
      <w:r>
        <w:rPr>
          <w:rStyle w:val="Subst"/>
        </w:rPr>
        <w:br/>
        <w:t>Наиболее значимые, по мнению Эмитента, возможные изменения в отрасли (отдельно на внутреннем и внешних рынках):</w:t>
      </w:r>
      <w:r>
        <w:rPr>
          <w:rStyle w:val="Subst"/>
        </w:rPr>
        <w:br/>
      </w:r>
      <w:r>
        <w:rPr>
          <w:rStyle w:val="Subst"/>
        </w:rPr>
        <w:tab/>
        <w:t>На внутреннем рынке: общее ухудшение конъюнктуры отрасли Поручителя (Закрытого акционерного общества «Далур»).</w:t>
      </w:r>
      <w:r>
        <w:rPr>
          <w:rStyle w:val="Subst"/>
        </w:rPr>
        <w:br/>
        <w:t xml:space="preserve">            На внешнем рынке: Эмитент планирует осуществлять свою деятельность на внутреннем рынке. Значимые возможные изменения в отрасли на внешнем рынке для Эмитента  отсутствуют.</w:t>
      </w:r>
      <w:r>
        <w:rPr>
          <w:rStyle w:val="Subst"/>
        </w:rPr>
        <w:br/>
      </w:r>
      <w:r>
        <w:rPr>
          <w:rStyle w:val="Subst"/>
        </w:rPr>
        <w:br/>
        <w:t>Предполагаемые действия Эмитента в случае изменений в отрасли:  Для снижения указанных рисков Эмитент намерен:</w:t>
      </w:r>
      <w:r>
        <w:rPr>
          <w:rStyle w:val="Subst"/>
        </w:rPr>
        <w:br/>
        <w:t>-  размещать средства, полученные путем выпуска Облигаций, с доходностью не ниже, чем процентная ставка по Облигациям плюс все расходы, связанные с организацией и обслуживанием выпуска облигаций,</w:t>
      </w:r>
      <w:r>
        <w:rPr>
          <w:rStyle w:val="Subst"/>
        </w:rPr>
        <w:br/>
        <w:t>- в случае необходимости пересматривать норму доходности вложений, требуемую для исполнения обязательств по Облигациям,</w:t>
      </w:r>
      <w:r>
        <w:rPr>
          <w:rStyle w:val="Subst"/>
        </w:rPr>
        <w:br/>
        <w:t>- установить срок, на который предоставляются заемные средства, меньшим, чем срок обращения Облигаций.</w:t>
      </w:r>
      <w:r>
        <w:rPr>
          <w:rStyle w:val="Subst"/>
        </w:rPr>
        <w:br/>
      </w:r>
      <w:r>
        <w:rPr>
          <w:rStyle w:val="Subst"/>
        </w:rPr>
        <w:br/>
        <w:t xml:space="preserve">Риски, связанные с возможным изменением цен на сырье, услуги, используемые Эмитентом  в своей деятельности (отдельно на внутреннем и внешнем рынках): </w:t>
      </w:r>
      <w:r>
        <w:rPr>
          <w:rStyle w:val="Subst"/>
        </w:rPr>
        <w:br/>
        <w:t xml:space="preserve">на внутреннем рынке: Так как Эмитент не планирует в будущем осуществлять закупку сырья и услуг, влияние указанных факторов риска на деятельность Эмитента и исполнение обязательств по ценным бумагам  минимально. </w:t>
      </w:r>
      <w:r>
        <w:rPr>
          <w:rStyle w:val="Subst"/>
        </w:rPr>
        <w:br/>
      </w:r>
      <w:r>
        <w:rPr>
          <w:rStyle w:val="Subst"/>
        </w:rPr>
        <w:br/>
        <w:t>на внешнем рынке: в поставках Эмитента импорт не планируется. Эмитент не планирует осуществлять хозяйственную деятельность на внешнем рынке.</w:t>
      </w:r>
      <w:r>
        <w:rPr>
          <w:rStyle w:val="Subst"/>
        </w:rPr>
        <w:br/>
        <w:t>Риски, связанные с возможным изменением цен на сырье и услуги на внешнем рынке, отсутствуют.</w:t>
      </w:r>
      <w:r>
        <w:rPr>
          <w:rStyle w:val="Subst"/>
        </w:rPr>
        <w:br/>
      </w:r>
      <w:r>
        <w:rPr>
          <w:rStyle w:val="Subst"/>
        </w:rPr>
        <w:br/>
        <w:t>Влияние изменения цен на сырье и услуги, используемые Эмитентом на деятельность Эмитента и исполнение обязательств по ценным бумагам:  Влияние рисков, связанных с возможным изменением цен на сырье и услуги, которые предполагает использовать Эмитент, на деятельность Эмитента и исполнение обязательств по ценным бумагам Эмитента, оцениваются как незначительное.</w:t>
      </w:r>
      <w:r>
        <w:rPr>
          <w:rStyle w:val="Subst"/>
        </w:rPr>
        <w:br/>
      </w:r>
      <w:r>
        <w:rPr>
          <w:rStyle w:val="Subst"/>
        </w:rPr>
        <w:br/>
        <w:t xml:space="preserve">Риски, связанные с возможным изменением цен на продукцию и/или услуги Эмитента (отдельно на внутреннем и внешнем рынках):  </w:t>
      </w:r>
      <w:r>
        <w:rPr>
          <w:rStyle w:val="Subst"/>
        </w:rPr>
        <w:br/>
        <w:t>на внутреннем рынке: Эмитент зарегистрирован в качестве юридического лица 28.06.2007 г. и с момента государственной регистрации до даты утверждения проспекта ценных бумаг не осуществлял хозяйственную деятельность. Эмитент не планирует производство продукции, в связи с чем риски, связанные с возможным изменением цен на продукцию, не имеют места.</w:t>
      </w:r>
      <w:r>
        <w:rPr>
          <w:rStyle w:val="Subst"/>
        </w:rPr>
        <w:br/>
        <w:t>Рискам, связанным с возможным изменением цен на услуги, Эмитент не подвержен.</w:t>
      </w:r>
      <w:r>
        <w:rPr>
          <w:rStyle w:val="Subst"/>
        </w:rPr>
        <w:br/>
        <w:t>на внешнем рынке: Эмитент не планирует вести деятельность  на внешнем рынке, следовательно, рисков, связанных с изменениями на внешнем рынке, Эмитент не несет.</w:t>
      </w:r>
      <w:r>
        <w:rPr>
          <w:rStyle w:val="Subst"/>
        </w:rPr>
        <w:br/>
      </w:r>
      <w:r>
        <w:rPr>
          <w:rStyle w:val="Subst"/>
        </w:rPr>
        <w:br/>
        <w:t>Влияние изменения цен на продукцию и/или услуги Эмитента на деятельность Эмитента и исполнение обязательств по ценным бумагам:  В связи с отсутствием рисков, связанных с возможным изменением цен на продукцию Эмитента, их влияние на деятельность Эмитента и исполнение обязательств по ценным бумагам не имеют места.</w:t>
      </w:r>
      <w:r>
        <w:rPr>
          <w:rStyle w:val="Subst"/>
        </w:rPr>
        <w:br/>
        <w:t>В связи с отсутствием рисков, связанных с возможным изменением цен на продукцию Эмитента, их влияние на деятельность Эмитента и исполнение обязательств по ценным бумагам не имеют места.</w:t>
      </w:r>
    </w:p>
    <w:p w:rsidR="00B20811" w:rsidRDefault="00B20811">
      <w:pPr>
        <w:pStyle w:val="2"/>
      </w:pPr>
      <w:r>
        <w:lastRenderedPageBreak/>
        <w:t>2.5.2. Страновые и региональные риски</w:t>
      </w:r>
    </w:p>
    <w:p w:rsidR="00B20811" w:rsidRDefault="00B20811">
      <w:pPr>
        <w:ind w:left="200"/>
      </w:pPr>
      <w:r>
        <w:rPr>
          <w:rStyle w:val="Subst"/>
        </w:rPr>
        <w:t>Риски, связанные с политической и экономической ситуацией в стране (странах) и регионе, в которых Эмитент зарегистрирован в качестве налогоплательщика и/или осуществляет основную деятельность при условии, что основная деятельность Эмитента  в такой стране (регионе) приносит 10 и более процентов доходов за последний завершенный отчетный период, предшествующий дате утверждения Проспекта ценных бумаг: В целом, итоги социально-экономического развития Российской Федерации и, в частности, Курганской области, в которой планирует осуществлять хозяйственную деятельность Эмитент,  являются положительными.</w:t>
      </w:r>
      <w:r>
        <w:rPr>
          <w:rStyle w:val="Subst"/>
        </w:rPr>
        <w:br/>
        <w:t xml:space="preserve">В течение последних лет экономическая ситуация в стране характеризуется снижением инфляции, стабильным ростом производства товаров и услуг, реальных располагаемых денежных доходов населения, инвестиций в основной капитал, сохранением финансовой стабильности в связи с устойчивым профицитом федерального бюджета. </w:t>
      </w:r>
      <w:r>
        <w:rPr>
          <w:rStyle w:val="Subst"/>
        </w:rPr>
        <w:br/>
        <w:t>Экономическая ситуация в России на протяжении последних лет, досрочное погашение внешнего долга Российской Федерации федеральным правительством привели к стабилизации суверенного рейтинга России на уровне «ВВВ» агентством Standard and Poor’s, также до уровня «ВВВ» агентством Fitch и до уровня «Baa1» - агентством Moody’s.</w:t>
      </w:r>
      <w:r>
        <w:rPr>
          <w:rStyle w:val="Subst"/>
        </w:rPr>
        <w:br/>
        <w:t>В существующих условиях, основным источником нестабильности экономической ситуации в стране является возможное падение цен на нефть и на другие товары российского экспорта. Однако в связи с растущим дефицитом органического сырья падение цен на основные энергоносители маловероятно.</w:t>
      </w:r>
      <w:r>
        <w:rPr>
          <w:rStyle w:val="Subst"/>
        </w:rPr>
        <w:br/>
        <w:t>Динамичное развитие Курганской области дает основания делать положительный прогноз в отношении развития Эмитента. Эмитент оценивает политическую и экономическую ситуацию в регионе как относительно стабильную. Дальнейшее улучшение в экономическом состоянии региона, безусловно, положительно скажется на деятельности Эмитента и благоприятно отразится на возможностях Эмитента  исполнять свои обязательства по облигациям. Отрицательных изменений ситуации в регионе и в Российской Федерации в целом, которые могут негативно повлиять на деятельность и экономическое положение Эмитента, в ближайшее время не прогнозируется.</w:t>
      </w:r>
      <w:r>
        <w:rPr>
          <w:rStyle w:val="Subst"/>
        </w:rPr>
        <w:br/>
        <w:t xml:space="preserve"> </w:t>
      </w:r>
      <w:r>
        <w:rPr>
          <w:rStyle w:val="Subst"/>
        </w:rPr>
        <w:br/>
        <w:t>Предполагаемые действия эмитента на случай отрицательного влияния изменения ситуации в стране (странах) и регионе на его деятельность: В случае отрицательного влияния изменения ситуации в Российской Федерации и в Курганской области на деятельность Эмитента, планируется:</w:t>
      </w:r>
      <w:r>
        <w:rPr>
          <w:rStyle w:val="Subst"/>
        </w:rPr>
        <w:tab/>
      </w:r>
      <w:r>
        <w:rPr>
          <w:rStyle w:val="Subst"/>
        </w:rPr>
        <w:br/>
        <w:t>- скорректировать ценовую и маркетинговую политику Эмитента;</w:t>
      </w:r>
      <w:r>
        <w:rPr>
          <w:rStyle w:val="Subst"/>
        </w:rPr>
        <w:br/>
        <w:t>- пересмотреть инвестиционную программу;</w:t>
      </w:r>
      <w:r>
        <w:rPr>
          <w:rStyle w:val="Subst"/>
        </w:rPr>
        <w:tab/>
      </w:r>
      <w:r>
        <w:rPr>
          <w:rStyle w:val="Subst"/>
        </w:rPr>
        <w:br/>
        <w:t>- оптимизировать структуру затрат;</w:t>
      </w:r>
      <w:r>
        <w:rPr>
          <w:rStyle w:val="Subst"/>
        </w:rPr>
        <w:tab/>
      </w:r>
      <w:r>
        <w:rPr>
          <w:rStyle w:val="Subst"/>
        </w:rPr>
        <w:br/>
        <w:t>- изменить структуру предоставляемых услуг в целях  максимизации прибыли.</w:t>
      </w:r>
      <w:r>
        <w:rPr>
          <w:rStyle w:val="Subst"/>
        </w:rPr>
        <w:br/>
      </w:r>
      <w:r>
        <w:rPr>
          <w:rStyle w:val="Subst"/>
        </w:rPr>
        <w:br/>
        <w:t>Риски, связанные с возможными военными конфликтами, введением чрезвычайного положения и забастовками в стране (странах) и регионе, в которых эмитент зарегистрирован в качестве налогоплательщика и/или осуществляет основную деятельность:  Риски, связанные с возможными военными конфликтами, введением чрезвычайного положения и забастовками в Российской Федерации и в Курганской области, минимальны.</w:t>
      </w:r>
      <w:r>
        <w:rPr>
          <w:rStyle w:val="Subst"/>
        </w:rPr>
        <w:br/>
      </w:r>
      <w:r>
        <w:rPr>
          <w:rStyle w:val="Subst"/>
        </w:rPr>
        <w:br/>
        <w:t>Риски, связанные с географическими особенностями страны (стран) и региона, в которых эмитент зарегистрирован в качестве налогоплательщика и/или осуществляет основную деятельность (в том числе повышенная опасность стихийных бедствий, возможное прекращение транспортного сообщения в связи с удаленностью и/или  труднодоступностью и т.п.):  Риски, связанные с географическими особенностями страны и региона, в которых Эмитент зарегистрирован в качестве налогоплательщика и осуществляет основную деятельность, в том числе повышенной опасностью стихийных бедствий, возможным прекращением транспортного сообщения в связи с удаленностью и/или труднодоступностью, оцениваются Эмитентом как невысокие.</w:t>
      </w:r>
      <w:r>
        <w:rPr>
          <w:rStyle w:val="Subst"/>
        </w:rPr>
        <w:br/>
      </w:r>
    </w:p>
    <w:p w:rsidR="00B20811" w:rsidRDefault="00B20811">
      <w:pPr>
        <w:pStyle w:val="2"/>
      </w:pPr>
      <w:r>
        <w:t>2.5.3. Финансовые риски</w:t>
      </w:r>
    </w:p>
    <w:p w:rsidR="00B20811" w:rsidRDefault="00B20811">
      <w:pPr>
        <w:ind w:left="200"/>
      </w:pPr>
      <w:r>
        <w:rPr>
          <w:rStyle w:val="Subst"/>
        </w:rPr>
        <w:t xml:space="preserve">Подверженность эмитента рискам, связанным с изменением процентных ставок, курса обмена иностранных валют, в связи с деятельностью эмитента либо в связи с хеджированием, осуществляемым эмитентом в целях снижения неблагоприятных последствий влияния вышеуказанных рисков: Рост процентных ставок на рынке может привести к тому, что Эмитент будет вынужден привлекать более дорогие средства для финансирования своей инвестиционной программы и текущей деятельности. Это приведет к снижению прибыли </w:t>
      </w:r>
      <w:r>
        <w:rPr>
          <w:rStyle w:val="Subst"/>
        </w:rPr>
        <w:lastRenderedPageBreak/>
        <w:t>Эмитента. Вероятность повышения процентных ставок незначительна, поэтому хеджирование рисков Эмитентом не производится.</w:t>
      </w:r>
      <w:r>
        <w:rPr>
          <w:rStyle w:val="Subst"/>
        </w:rPr>
        <w:br/>
        <w:t xml:space="preserve">В случае повышения процентных ставок на рынке Эмитент будет вынужден снизить объемы привлекаемых средств за счет банковских кредитов, займов и других источников. </w:t>
      </w:r>
      <w:r>
        <w:rPr>
          <w:rStyle w:val="Subst"/>
        </w:rPr>
        <w:br/>
        <w:t>Поскольку обязательства Эмитента номинированы в рублях, включая и данный облигационный заем, и в соответствии с настоящими условиями займа выплаты по нему Эмитентом не связаны с изменением курса рубля по отношению к другим валютам, фактор возможных колебаний любых валютных курсов не представляет значительного риска для Эмитента.</w:t>
      </w:r>
      <w:r>
        <w:rPr>
          <w:rStyle w:val="Subst"/>
        </w:rPr>
        <w:br/>
      </w:r>
      <w:r>
        <w:rPr>
          <w:rStyle w:val="Subst"/>
        </w:rPr>
        <w:br/>
        <w:t>Подверженность финансового состояния эмитента (его ликвидности, источников финансирования, результатов деятельности и т.п.) изменению валютного курса: Эмитент зарегистрирован в качестве юридического лица 28.06.2007 г.  и с момента государственной регистрации до даты утверждения проспекта ценных бумаг не осуществлял хозяйственную деятельность.</w:t>
      </w:r>
      <w:r>
        <w:rPr>
          <w:rStyle w:val="Subst"/>
        </w:rPr>
        <w:br/>
        <w:t>В связи с этим подверженность финансового состояния Эмитента, ликвидности Эмитента и результатов деятельности Эмитента изменению валютного курса отсутствуют.</w:t>
      </w:r>
      <w:r>
        <w:rPr>
          <w:rStyle w:val="Subst"/>
        </w:rPr>
        <w:br/>
        <w:t>От тотальных же валютных рисков (обвалов и кризисов) застраховаться полностью невозможно.</w:t>
      </w:r>
      <w:r>
        <w:rPr>
          <w:rStyle w:val="Subst"/>
        </w:rPr>
        <w:br/>
      </w:r>
      <w:r>
        <w:rPr>
          <w:rStyle w:val="Subst"/>
        </w:rPr>
        <w:br/>
        <w:t>Предполагаемые действия Эмитента на случай отрицательного влияния изменения валютного курса на деятельность Эмитента: В связи с тем, что изменения валютного курса не окажет значительного влияния на деятельность Эмитента, Эмитентом не предполагаются какие-либо действия в случае такого изменения.</w:t>
      </w:r>
      <w:r>
        <w:rPr>
          <w:rStyle w:val="Subst"/>
        </w:rPr>
        <w:br/>
      </w:r>
      <w:r>
        <w:rPr>
          <w:rStyle w:val="Subst"/>
        </w:rPr>
        <w:br/>
        <w:t>Предполагаемые действия Эмитента на случай отрицательного влияния изменения процентных ставок на деятельность Эмитента:</w:t>
      </w:r>
      <w:r>
        <w:rPr>
          <w:rStyle w:val="Subst"/>
        </w:rPr>
        <w:br/>
        <w:t>- изменение сроков и объемов заимствований;</w:t>
      </w:r>
      <w:r>
        <w:rPr>
          <w:rStyle w:val="Subst"/>
        </w:rPr>
        <w:br/>
        <w:t xml:space="preserve">- сокращение сроков оборачиваемости дебиторской задолженности.  </w:t>
      </w:r>
      <w:r>
        <w:rPr>
          <w:rStyle w:val="Subst"/>
        </w:rPr>
        <w:br/>
        <w:t>При этом,  следует отметить, что в течение последних лет ставка рефинансирования ЦБ РФ имеет тенденцию к снижению, что позволяет оценить риск увеличения процентных ставок как незначительный.</w:t>
      </w:r>
      <w:r>
        <w:rPr>
          <w:rStyle w:val="Subst"/>
        </w:rPr>
        <w:br/>
      </w:r>
      <w:r>
        <w:rPr>
          <w:rStyle w:val="Subst"/>
        </w:rPr>
        <w:br/>
        <w:t>Влияние инфляции на выплаты по ценным бумагам: Риск влияния инфляции может возникнуть в случае, когда получаемые денежные доходы обесцениваются, с точки зрения реальной покупательной способности денег, быстрее, чем растут номинально. Увеличение инфляционных процессов в целом по стране может привести к снижению спроса на продукцию предприятия и соответственно поступлению выручки на объединение. Но взятый Правительством РФ курс на снижение уровня инфляции и поддержание ее на уровне, способствующем развитию экономики страны,  не дает основания предполагать, что уровень инфляции каким  - либо образом  может  сказаться на выплатах по облигациям Эмитента.</w:t>
      </w:r>
      <w:r>
        <w:rPr>
          <w:rStyle w:val="Subst"/>
        </w:rPr>
        <w:br/>
        <w:t>По мнению Эмитента, значение инфляции, при котором у него могут возникнуть трудности по исполнению обязательств перед владельцами облигаций Эмитента, лежит значительно выше величины инфляции прогнозируемой на 2010-2011 гг. и составляют 20-25% годовых.</w:t>
      </w:r>
      <w:r>
        <w:rPr>
          <w:rStyle w:val="Subst"/>
        </w:rPr>
        <w:br/>
      </w:r>
      <w:r>
        <w:rPr>
          <w:rStyle w:val="Subst"/>
        </w:rPr>
        <w:br/>
        <w:t>Предполагаемые действия Эмитента по уменьшению риска, вызванного инфляцией:   В случае если значение инфляции превысит указанные значения, Эмитент планирует увеличить в своих активах долю краткосрочных финансовых инструментов, а также провести мероприятия по сокращению внутренних издержек.</w:t>
      </w:r>
      <w:r>
        <w:rPr>
          <w:rStyle w:val="Subst"/>
        </w:rPr>
        <w:br/>
      </w:r>
      <w:r>
        <w:rPr>
          <w:rStyle w:val="Subst"/>
        </w:rPr>
        <w:br/>
        <w:t>По мнению Эмитента, наиболее подвержены влиянию перечисленных в настоящем параграфе финансовых рисков основные финансовые показатели Эмитента – уровень выручки и чистой прибыли. Вероятность появления описанных выше финансовых рисков (резкое изменение валютных курсов, инфляция, рост процентных ставок) в ближайшие годы Эмитент оценивает как низкую. Тем не менее, в случае появления данных рисков возможно изменение уровня выручки и снижение прибыли.  При этом влияние данных негативных факторов может  компенсироваться ростом цен на продукцию (услуги) и снижением объемов привлечения заемных средств.</w:t>
      </w:r>
    </w:p>
    <w:p w:rsidR="00B20811" w:rsidRDefault="00B20811">
      <w:pPr>
        <w:pStyle w:val="2"/>
      </w:pPr>
      <w:r>
        <w:t>2.5.4. Правовые риски</w:t>
      </w:r>
    </w:p>
    <w:p w:rsidR="00B20811" w:rsidRDefault="00B20811">
      <w:pPr>
        <w:ind w:left="200"/>
      </w:pPr>
      <w:r>
        <w:rPr>
          <w:rStyle w:val="Subst"/>
        </w:rPr>
        <w:t>Правовые риски, связанные с деятельностью эмитента:</w:t>
      </w:r>
      <w:r>
        <w:rPr>
          <w:rStyle w:val="Subst"/>
        </w:rPr>
        <w:br/>
        <w:t>Внутренний рынок:</w:t>
      </w:r>
      <w:r>
        <w:rPr>
          <w:rStyle w:val="Subst"/>
        </w:rPr>
        <w:br/>
        <w:t xml:space="preserve">Изменение валютного регулирования: </w:t>
      </w:r>
      <w:r>
        <w:rPr>
          <w:rStyle w:val="Subst"/>
        </w:rPr>
        <w:br/>
      </w:r>
      <w:r>
        <w:rPr>
          <w:rStyle w:val="Subst"/>
        </w:rPr>
        <w:lastRenderedPageBreak/>
        <w:t>Риск изменения валютного регулирования на внутреннем рынке не оказывает существенного влияния на деятельность Эмитента.</w:t>
      </w:r>
      <w:r>
        <w:rPr>
          <w:rStyle w:val="Subst"/>
        </w:rPr>
        <w:br/>
      </w:r>
      <w:r>
        <w:rPr>
          <w:rStyle w:val="Subst"/>
        </w:rPr>
        <w:br/>
        <w:t xml:space="preserve">Изменение налогового законодательства:  В настоящее время Правительство РФ проводит политику снижения налогового бремени на российских налогоплательщиков. В связи с чем, в ближайшее время, не ожидается внесение изменений в налоговое законодательство в части увеличения налоговых ставок. </w:t>
      </w:r>
      <w:r>
        <w:rPr>
          <w:rStyle w:val="Subst"/>
        </w:rPr>
        <w:br/>
        <w:t>Данный риск рассматривается как незначительный.</w:t>
      </w:r>
      <w:r>
        <w:rPr>
          <w:rStyle w:val="Subst"/>
        </w:rPr>
        <w:br/>
      </w:r>
      <w:r>
        <w:rPr>
          <w:rStyle w:val="Subst"/>
        </w:rPr>
        <w:br/>
        <w:t>Изменение правил таможенного контроля и пошлин:  Правовые риски, связанные с изменением правил таможенного контроля и пошлин на внутреннем рынке, отсутствуют.</w:t>
      </w:r>
      <w:r>
        <w:rPr>
          <w:rStyle w:val="Subst"/>
        </w:rPr>
        <w:br/>
      </w:r>
      <w:r>
        <w:rPr>
          <w:rStyle w:val="Subst"/>
        </w:rPr>
        <w:br/>
        <w:t>Изменение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 Возможность изменения требований по лицензированию основной деятельности Эмитента рассматривается как незначительная.</w:t>
      </w:r>
      <w:r>
        <w:rPr>
          <w:rStyle w:val="Subst"/>
        </w:rPr>
        <w:br/>
      </w:r>
      <w:r>
        <w:rPr>
          <w:rStyle w:val="Subst"/>
        </w:rPr>
        <w:br/>
        <w:t>Изменение судебной практики, связанной с деятельностью 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эмитент: Возможность изменения судебной практики, связанной с деятельностью Эмитента (в том числе по вопросам лицензирования), рассматривается как незначительная и не окажет существенного влияния на его деятельность.</w:t>
      </w:r>
      <w:r>
        <w:rPr>
          <w:rStyle w:val="Subst"/>
        </w:rPr>
        <w:br/>
      </w:r>
      <w:r>
        <w:rPr>
          <w:rStyle w:val="Subst"/>
        </w:rPr>
        <w:br/>
        <w:t>Внешний рынок:</w:t>
      </w:r>
      <w:r>
        <w:rPr>
          <w:rStyle w:val="Subst"/>
        </w:rPr>
        <w:br/>
        <w:t>Изменение валютного регулирования:  Риск изменения валютного регулирования, в том числе изменения доли обязательной продажи экспортной выручки, не оказывает существенного влияния на деятельность Эмитента.</w:t>
      </w:r>
      <w:r>
        <w:rPr>
          <w:rStyle w:val="Subst"/>
        </w:rPr>
        <w:br/>
      </w:r>
      <w:r>
        <w:rPr>
          <w:rStyle w:val="Subst"/>
        </w:rPr>
        <w:br/>
        <w:t>Изменение налогового законодательства:  В настоящее время Правительство РФ проводит политику снижения налогового бремени на российских налогоплательщиков. В связи с чем, в ближайшее время, не ожидается внесение изменений в налоговое законодательство в части увеличения налоговых ставок. Данный риск рассматривается как незначительный.</w:t>
      </w:r>
      <w:r>
        <w:rPr>
          <w:rStyle w:val="Subst"/>
        </w:rPr>
        <w:br/>
      </w:r>
      <w:r>
        <w:rPr>
          <w:rStyle w:val="Subst"/>
        </w:rPr>
        <w:br/>
        <w:t>Изменение правил таможенного контроля и пошлин:  Правовые риски, связанные с изменением правил таможенного контроля и пошлин, незначительные.</w:t>
      </w:r>
      <w:r>
        <w:rPr>
          <w:rStyle w:val="Subst"/>
        </w:rPr>
        <w:br/>
      </w:r>
      <w:r>
        <w:rPr>
          <w:rStyle w:val="Subst"/>
        </w:rPr>
        <w:br/>
        <w:t>Изменение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  Возможность изменения требований по лицензированию основной деятельности Эмитента оценивается как незначительная.</w:t>
      </w:r>
      <w:r>
        <w:rPr>
          <w:rStyle w:val="Subst"/>
        </w:rPr>
        <w:br/>
      </w:r>
      <w:r>
        <w:rPr>
          <w:rStyle w:val="Subst"/>
        </w:rPr>
        <w:br/>
        <w:t>Изменение судебной практики, связанной с деятельностью 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эмитент:  Возможность изменения судебной практики, связанной с деятельностью Эмитента (в том числе по вопросам лицензирования), оценивается как незначительная и не окажет существенного влияния на его деятельность.</w:t>
      </w:r>
    </w:p>
    <w:p w:rsidR="00B20811" w:rsidRDefault="00B20811">
      <w:pPr>
        <w:pStyle w:val="2"/>
      </w:pPr>
      <w:r>
        <w:t>2.5.5. Риски, связанные с деятельностью эмитента</w:t>
      </w:r>
    </w:p>
    <w:p w:rsidR="00B20811" w:rsidRDefault="00B20811">
      <w:pPr>
        <w:ind w:left="200"/>
      </w:pPr>
      <w:r>
        <w:rPr>
          <w:rStyle w:val="Subst"/>
        </w:rPr>
        <w:t xml:space="preserve">Риски, связанные с текущими судебными процессами, в которых участвует эмитент: Эмитент не участвует в судебных процессах. </w:t>
      </w:r>
      <w:r>
        <w:rPr>
          <w:rStyle w:val="Subst"/>
        </w:rPr>
        <w:br/>
      </w:r>
      <w:r>
        <w:rPr>
          <w:rStyle w:val="Subst"/>
        </w:rPr>
        <w:br/>
        <w:t xml:space="preserve">Риски, связанные с отсутствием возможности продлить действие лицензии эмитента на ведение определенного вида деятельности либо использование объектов, нахождение которых в обороте ограничено (включая природные ресурсы):  Деятельность Эмитента не требует наличия специальных разрешений (лицензий), поэтому отсутствуют риски, связанные с продлением действий таких разрешений и лицензий. </w:t>
      </w:r>
      <w:r>
        <w:rPr>
          <w:rStyle w:val="Subst"/>
        </w:rPr>
        <w:br/>
      </w:r>
      <w:r>
        <w:rPr>
          <w:rStyle w:val="Subst"/>
        </w:rPr>
        <w:br/>
        <w:t>Риски, связанные с возможной ответственностью эмитента по долгам третьих лиц, в том числе дочерних обществ эмитента: Эмитент не несет ответственности по долгам третьих лиц. Дочерние общества не создавались.</w:t>
      </w:r>
      <w:r>
        <w:rPr>
          <w:rStyle w:val="Subst"/>
        </w:rPr>
        <w:br/>
      </w:r>
      <w:r>
        <w:rPr>
          <w:rStyle w:val="Subst"/>
        </w:rPr>
        <w:lastRenderedPageBreak/>
        <w:br/>
        <w:t>Риски, связанные с возможностью потери потребителей, на оборот с которыми приходится не менее чем 10 процентов общей выручки от продажи продукции (работ, услуг) эмитента: Риски отсутствуют. Эмитент не имеет указанных потребителей.</w:t>
      </w:r>
    </w:p>
    <w:p w:rsidR="00B20811" w:rsidRDefault="00B20811">
      <w:pPr>
        <w:pStyle w:val="1"/>
      </w:pPr>
      <w:r>
        <w:t>III. Подробная информация об эмитенте</w:t>
      </w:r>
    </w:p>
    <w:p w:rsidR="00B20811" w:rsidRDefault="00B20811">
      <w:pPr>
        <w:pStyle w:val="2"/>
      </w:pPr>
      <w:r>
        <w:t>3.1. История создания и развитие эмитента</w:t>
      </w:r>
    </w:p>
    <w:p w:rsidR="00B20811" w:rsidRDefault="00B20811">
      <w:pPr>
        <w:pStyle w:val="2"/>
      </w:pPr>
      <w:r>
        <w:t>3.1.1. Данные о фирменном наименовании (наименовании) эмитента</w:t>
      </w:r>
    </w:p>
    <w:p w:rsidR="00B20811" w:rsidRDefault="00B20811">
      <w:pPr>
        <w:ind w:left="200"/>
      </w:pPr>
      <w:r>
        <w:t>Полное фирменное наименование эмитента:</w:t>
      </w:r>
      <w:r>
        <w:rPr>
          <w:rStyle w:val="Subst"/>
        </w:rPr>
        <w:t xml:space="preserve"> Общество с ограниченной ответственностью "Далур-Финанс"</w:t>
      </w:r>
    </w:p>
    <w:p w:rsidR="00B20811" w:rsidRDefault="00B20811">
      <w:pPr>
        <w:ind w:left="200"/>
      </w:pPr>
      <w:r>
        <w:t>Сокращенное фирменное наименование эмитента:</w:t>
      </w:r>
      <w:r>
        <w:rPr>
          <w:rStyle w:val="Subst"/>
        </w:rPr>
        <w:t xml:space="preserve"> ООО "Далур-Финанс"</w:t>
      </w:r>
    </w:p>
    <w:p w:rsidR="00B20811" w:rsidRDefault="00B20811">
      <w:pPr>
        <w:ind w:left="200"/>
      </w:pPr>
    </w:p>
    <w:p w:rsidR="00B20811" w:rsidRDefault="00B20811">
      <w:pPr>
        <w:ind w:left="200"/>
      </w:pPr>
    </w:p>
    <w:p w:rsidR="00B20811" w:rsidRDefault="00B20811">
      <w:pPr>
        <w:pStyle w:val="SubHeading"/>
        <w:ind w:left="200"/>
      </w:pPr>
      <w:r>
        <w:t>Все предшествующие наименования эмитента в течение времени его существования</w:t>
      </w:r>
    </w:p>
    <w:p w:rsidR="00B20811" w:rsidRDefault="00B20811">
      <w:pPr>
        <w:ind w:left="400"/>
      </w:pPr>
      <w:r>
        <w:rPr>
          <w:rStyle w:val="Subst"/>
        </w:rPr>
        <w:t>Наименование эмитента в течение времени его существования не менялось</w:t>
      </w:r>
    </w:p>
    <w:p w:rsidR="00B20811" w:rsidRDefault="00B20811">
      <w:pPr>
        <w:pStyle w:val="2"/>
      </w:pPr>
      <w:r>
        <w:t>3.1.2. Сведения о государственной регистрации эмитента</w:t>
      </w:r>
    </w:p>
    <w:p w:rsidR="00B20811" w:rsidRDefault="00B20811">
      <w:pPr>
        <w:ind w:left="200"/>
      </w:pPr>
      <w:r>
        <w:t>Основной государственный регистрационный номер юридического лица:</w:t>
      </w:r>
      <w:r>
        <w:rPr>
          <w:rStyle w:val="Subst"/>
        </w:rPr>
        <w:t xml:space="preserve"> 1074506000205</w:t>
      </w:r>
    </w:p>
    <w:p w:rsidR="00B20811" w:rsidRDefault="00B20811">
      <w:pPr>
        <w:ind w:left="200"/>
      </w:pPr>
      <w:r>
        <w:t>Дата регистрации:</w:t>
      </w:r>
      <w:r>
        <w:rPr>
          <w:rStyle w:val="Subst"/>
        </w:rPr>
        <w:t xml:space="preserve"> 28.06.2007</w:t>
      </w:r>
    </w:p>
    <w:p w:rsidR="00B20811" w:rsidRDefault="00B20811">
      <w:pPr>
        <w:ind w:left="200"/>
      </w:pPr>
      <w:r>
        <w:t>Наименование регистрирующего органа:</w:t>
      </w:r>
      <w:r>
        <w:rPr>
          <w:rStyle w:val="Subst"/>
        </w:rPr>
        <w:t xml:space="preserve"> Межрайонная инспекция Федеральной налоговой службы № 2 по Курганской области</w:t>
      </w:r>
    </w:p>
    <w:p w:rsidR="00B20811" w:rsidRDefault="00B20811">
      <w:pPr>
        <w:pStyle w:val="2"/>
      </w:pPr>
      <w:r>
        <w:t>3.1.3. Сведения о создании и развитии эмитента</w:t>
      </w:r>
    </w:p>
    <w:p w:rsidR="00B20811" w:rsidRDefault="00B20811">
      <w:pPr>
        <w:ind w:left="200"/>
      </w:pPr>
      <w:r>
        <w:t>Срок существования эмитента с даты его государственной регистрации, а также срок, до которого эмитент будет существовать, в случае если он создан на определенный срок или до достижения определенной цели:</w:t>
      </w:r>
      <w:r>
        <w:br/>
      </w:r>
      <w:r>
        <w:rPr>
          <w:rStyle w:val="Subst"/>
        </w:rPr>
        <w:t>С даты государственной регистрации Эмитента (28.06.2007 г.) по настоящее время.</w:t>
      </w:r>
      <w:r>
        <w:rPr>
          <w:rStyle w:val="Subst"/>
        </w:rPr>
        <w:br/>
        <w:t>Эмитент создан на неопределенный срок</w:t>
      </w:r>
    </w:p>
    <w:p w:rsidR="00B20811" w:rsidRDefault="00B20811">
      <w:pPr>
        <w:ind w:left="200"/>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r>
        <w:br/>
      </w:r>
      <w:r>
        <w:rPr>
          <w:rStyle w:val="Subst"/>
        </w:rPr>
        <w:t>В соответствии с Уставом Эмитента (п. 2.1. статьи 2) целями деятельности Общества является получение прибыли.</w:t>
      </w:r>
      <w:r>
        <w:rPr>
          <w:rStyle w:val="Subst"/>
        </w:rPr>
        <w:br/>
      </w:r>
      <w:r>
        <w:rPr>
          <w:rStyle w:val="Subst"/>
        </w:rPr>
        <w:br/>
        <w:t>В соответствии с Уставом Эмитента (п. 2.2 статьи 2) предметом деятельности Общества являются следующие ее виды:</w:t>
      </w:r>
      <w:r>
        <w:rPr>
          <w:rStyle w:val="Subst"/>
        </w:rPr>
        <w:br/>
        <w:t>•</w:t>
      </w:r>
      <w:r>
        <w:rPr>
          <w:rStyle w:val="Subst"/>
        </w:rPr>
        <w:tab/>
        <w:t>Эмиссионная деятельность.</w:t>
      </w:r>
      <w:r>
        <w:rPr>
          <w:rStyle w:val="Subst"/>
        </w:rPr>
        <w:br/>
        <w:t>•</w:t>
      </w:r>
      <w:r>
        <w:rPr>
          <w:rStyle w:val="Subst"/>
        </w:rPr>
        <w:tab/>
        <w:t>Предоставление займов промышленности.</w:t>
      </w:r>
      <w:r>
        <w:rPr>
          <w:rStyle w:val="Subst"/>
        </w:rPr>
        <w:br/>
        <w:t>•</w:t>
      </w:r>
      <w:r>
        <w:rPr>
          <w:rStyle w:val="Subst"/>
        </w:rPr>
        <w:tab/>
        <w:t>Заключение свопов, опционов и других биржевых сделок</w:t>
      </w:r>
      <w:r>
        <w:rPr>
          <w:rStyle w:val="Subst"/>
        </w:rPr>
        <w:br/>
        <w:t>•</w:t>
      </w:r>
      <w:r>
        <w:rPr>
          <w:rStyle w:val="Subst"/>
        </w:rPr>
        <w:tab/>
        <w:t>Исследование конъюнктуры рынка</w:t>
      </w:r>
      <w:r>
        <w:rPr>
          <w:rStyle w:val="Subst"/>
        </w:rPr>
        <w:br/>
        <w:t>•</w:t>
      </w:r>
      <w:r>
        <w:rPr>
          <w:rStyle w:val="Subst"/>
        </w:rPr>
        <w:tab/>
        <w:t>Деятельность по управлению ценными бумагам</w:t>
      </w:r>
      <w:r>
        <w:rPr>
          <w:rStyle w:val="Subst"/>
        </w:rPr>
        <w:br/>
        <w:t>•</w:t>
      </w:r>
      <w:r>
        <w:rPr>
          <w:rStyle w:val="Subst"/>
        </w:rPr>
        <w:tab/>
        <w:t>Капиталовложения в собственность</w:t>
      </w:r>
      <w:r>
        <w:rPr>
          <w:rStyle w:val="Subst"/>
        </w:rPr>
        <w:br/>
        <w:t>•</w:t>
      </w:r>
      <w:r>
        <w:rPr>
          <w:rStyle w:val="Subst"/>
        </w:rPr>
        <w:tab/>
        <w:t>Капиталовложения в ценные бумаги</w:t>
      </w:r>
      <w:r>
        <w:rPr>
          <w:rStyle w:val="Subst"/>
        </w:rPr>
        <w:br/>
        <w:t>•</w:t>
      </w:r>
      <w:r>
        <w:rPr>
          <w:rStyle w:val="Subst"/>
        </w:rPr>
        <w:tab/>
        <w:t>Иная деятельность, не запрещенная законодательством Российской Федерации.</w:t>
      </w:r>
      <w:r>
        <w:rPr>
          <w:rStyle w:val="Subst"/>
        </w:rPr>
        <w:br/>
        <w:t>Общество выполняет другие функции, способствующие достижению целей и задач, не противоречащих настоящему Уставу и действующему законодательству Российской Федерации, принципам международного права.</w:t>
      </w:r>
      <w:r>
        <w:rPr>
          <w:rStyle w:val="Subst"/>
        </w:rPr>
        <w:br/>
        <w:t>2.3 Отдельными видами деятельности, перечень которых определяется федеральными законами, Общество может заниматься только на основании специального разрешения (лицензии). Если условиями предоставления специального разрешения (лицензии) на осуществление определенного вида деятельности предусмотрено требование осуществлять такую деятельность как исключительную, Общество в течение срока действия специального разрешения (лицензии) не вправе осуществлять только виды деятельности, предусмотренные специальным разрешением (лицензией), и им сопутствующие виды деятельности.</w:t>
      </w:r>
      <w:r>
        <w:rPr>
          <w:rStyle w:val="Subst"/>
        </w:rPr>
        <w:br/>
      </w:r>
      <w:r>
        <w:rPr>
          <w:rStyle w:val="Subst"/>
        </w:rPr>
        <w:lastRenderedPageBreak/>
        <w:tab/>
      </w:r>
      <w:r>
        <w:rPr>
          <w:rStyle w:val="Subst"/>
        </w:rPr>
        <w:br/>
        <w:t>Миссия эмитента: Внутренними документами Эмитента Миссия Эмитента не определена.</w:t>
      </w:r>
      <w:r>
        <w:rPr>
          <w:rStyle w:val="Subst"/>
        </w:rPr>
        <w:br/>
        <w:t>Эмитент (ООО «Далур-Финанс») создан по решению единственного учредителя – Закрытого акционерного общества «Далур».</w:t>
      </w:r>
    </w:p>
    <w:p w:rsidR="00B20811" w:rsidRDefault="00B20811">
      <w:pPr>
        <w:pStyle w:val="2"/>
      </w:pPr>
      <w:r>
        <w:t>3.1.4. Контактная информация</w:t>
      </w:r>
    </w:p>
    <w:p w:rsidR="00B20811" w:rsidRDefault="00B20811">
      <w:r>
        <w:t>Место нахождения:</w:t>
      </w:r>
      <w:r>
        <w:rPr>
          <w:rStyle w:val="Subst"/>
        </w:rPr>
        <w:t xml:space="preserve"> 641730 Россия, Курганская обл., г.Далматово,, Рукманиса 27</w:t>
      </w:r>
    </w:p>
    <w:p w:rsidR="00B20811" w:rsidRDefault="00B20811">
      <w:pPr>
        <w:pStyle w:val="SubHeading"/>
      </w:pPr>
      <w:r>
        <w:t>Место нахождения постоянно действующего исполнительного органа</w:t>
      </w:r>
    </w:p>
    <w:p w:rsidR="00B20811" w:rsidRDefault="00B20811">
      <w:pPr>
        <w:ind w:left="200"/>
      </w:pPr>
      <w:r>
        <w:rPr>
          <w:rStyle w:val="Subst"/>
        </w:rPr>
        <w:t>641730 Россия, Курганская область, г. Далматово, Рукманиса 27</w:t>
      </w:r>
    </w:p>
    <w:p w:rsidR="00B20811" w:rsidRDefault="00B20811">
      <w:pPr>
        <w:pStyle w:val="SubHeading"/>
      </w:pPr>
      <w:r>
        <w:t>Адрес для направления корреспонденции</w:t>
      </w:r>
    </w:p>
    <w:p w:rsidR="00B20811" w:rsidRDefault="00B20811">
      <w:pPr>
        <w:ind w:left="200"/>
      </w:pPr>
      <w:r>
        <w:rPr>
          <w:rStyle w:val="Subst"/>
        </w:rPr>
        <w:t>641730 Россия, Курганская область, г. Далматово, Рукманиса 27</w:t>
      </w:r>
    </w:p>
    <w:p w:rsidR="00B20811" w:rsidRDefault="00B20811">
      <w:r>
        <w:t>Телефон:</w:t>
      </w:r>
      <w:r>
        <w:rPr>
          <w:rStyle w:val="Subst"/>
        </w:rPr>
        <w:t xml:space="preserve"> (3522) 60-00-39 доб.133</w:t>
      </w:r>
    </w:p>
    <w:p w:rsidR="00B20811" w:rsidRDefault="00B20811">
      <w:r>
        <w:t>Факс:</w:t>
      </w:r>
      <w:r>
        <w:rPr>
          <w:rStyle w:val="Subst"/>
        </w:rPr>
        <w:t xml:space="preserve"> (3522) 60-00-34</w:t>
      </w:r>
    </w:p>
    <w:p w:rsidR="00B20811" w:rsidRDefault="00B20811">
      <w:r>
        <w:t>Адрес электронной почты:</w:t>
      </w:r>
      <w:r>
        <w:rPr>
          <w:rStyle w:val="Subst"/>
        </w:rPr>
        <w:t xml:space="preserve"> semenov@dalur.ru</w:t>
      </w:r>
    </w:p>
    <w:p w:rsidR="00B20811" w:rsidRDefault="00B20811"/>
    <w:p w:rsidR="00B20811" w:rsidRDefault="00B20811">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rPr>
        <w:t xml:space="preserve"> www.rusfund.ru</w:t>
      </w:r>
    </w:p>
    <w:p w:rsidR="00B20811" w:rsidRDefault="00B20811">
      <w:pPr>
        <w:pStyle w:val="ThinDelim"/>
      </w:pPr>
    </w:p>
    <w:p w:rsidR="00B20811" w:rsidRDefault="00B20811">
      <w:pPr>
        <w:pStyle w:val="2"/>
      </w:pPr>
      <w:r>
        <w:t>3.1.5. Идентификационный номер налогоплательщика</w:t>
      </w:r>
    </w:p>
    <w:p w:rsidR="00B20811" w:rsidRDefault="00B20811">
      <w:pPr>
        <w:ind w:left="200"/>
      </w:pPr>
      <w:r>
        <w:rPr>
          <w:rStyle w:val="Subst"/>
        </w:rPr>
        <w:t>4506008308</w:t>
      </w:r>
    </w:p>
    <w:p w:rsidR="00B20811" w:rsidRDefault="00B20811">
      <w:pPr>
        <w:pStyle w:val="2"/>
      </w:pPr>
      <w:r>
        <w:t>3.1.6. Филиалы и представительства эмитента</w:t>
      </w:r>
    </w:p>
    <w:p w:rsidR="00B20811" w:rsidRDefault="00B20811">
      <w:pPr>
        <w:ind w:left="200"/>
      </w:pPr>
      <w:r>
        <w:rPr>
          <w:rStyle w:val="Subst"/>
        </w:rPr>
        <w:t>Эмитент не имеет филиалов и представительств</w:t>
      </w:r>
    </w:p>
    <w:p w:rsidR="00B20811" w:rsidRDefault="00B20811">
      <w:pPr>
        <w:pStyle w:val="2"/>
      </w:pPr>
      <w:r>
        <w:t>3.2. Основная хозяйственная деятельность эмитента</w:t>
      </w:r>
    </w:p>
    <w:p w:rsidR="00B20811" w:rsidRDefault="00B20811">
      <w:pPr>
        <w:pStyle w:val="2"/>
      </w:pPr>
      <w:r>
        <w:t>3.2.1. Отраслевая принадлежность эмитента</w:t>
      </w:r>
    </w:p>
    <w:p w:rsidR="00B20811" w:rsidRDefault="00B20811">
      <w:pPr>
        <w:pStyle w:val="ThinDelim"/>
      </w:pPr>
    </w:p>
    <w:tbl>
      <w:tblPr>
        <w:tblW w:w="0" w:type="auto"/>
        <w:tblLayout w:type="fixed"/>
        <w:tblCellMar>
          <w:left w:w="72" w:type="dxa"/>
          <w:right w:w="72" w:type="dxa"/>
        </w:tblCellMar>
        <w:tblLook w:val="0000"/>
      </w:tblPr>
      <w:tblGrid>
        <w:gridCol w:w="3852"/>
      </w:tblGrid>
      <w:tr w:rsidR="00B20811" w:rsidRPr="00C76478">
        <w:tc>
          <w:tcPr>
            <w:tcW w:w="3852" w:type="dxa"/>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Коды ОКВЭД</w:t>
            </w:r>
          </w:p>
        </w:tc>
      </w:tr>
      <w:tr w:rsidR="00B20811" w:rsidRPr="00C76478">
        <w:tc>
          <w:tcPr>
            <w:tcW w:w="3852" w:type="dxa"/>
            <w:tcBorders>
              <w:top w:val="single" w:sz="6" w:space="0" w:color="auto"/>
              <w:left w:val="double" w:sz="6" w:space="0" w:color="auto"/>
              <w:bottom w:val="double" w:sz="6" w:space="0" w:color="auto"/>
              <w:right w:val="double" w:sz="6" w:space="0" w:color="auto"/>
            </w:tcBorders>
          </w:tcPr>
          <w:p w:rsidR="00B20811" w:rsidRPr="00C76478" w:rsidRDefault="00B20811">
            <w:pPr>
              <w:rPr>
                <w:rFonts w:eastAsiaTheme="minorEastAsia"/>
              </w:rPr>
            </w:pPr>
            <w:r w:rsidRPr="00C76478">
              <w:rPr>
                <w:rFonts w:eastAsiaTheme="minorEastAsia"/>
              </w:rPr>
              <w:t>67.12.4</w:t>
            </w:r>
          </w:p>
        </w:tc>
      </w:tr>
    </w:tbl>
    <w:p w:rsidR="00B20811" w:rsidRDefault="00B20811"/>
    <w:p w:rsidR="00B20811" w:rsidRDefault="00B20811">
      <w:pPr>
        <w:pStyle w:val="2"/>
      </w:pPr>
      <w:r>
        <w:t>3.2.2. Основная хозяйственная деятельность эмитента</w:t>
      </w:r>
    </w:p>
    <w:p w:rsidR="00B20811" w:rsidRDefault="00B20811">
      <w:pPr>
        <w:pStyle w:val="SubHeading"/>
        <w:ind w:left="200"/>
      </w:pPr>
      <w:r>
        <w:t>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B20811" w:rsidRDefault="00B20811">
      <w:pPr>
        <w:ind w:left="400"/>
      </w:pPr>
    </w:p>
    <w:p w:rsidR="00B20811" w:rsidRDefault="00B20811">
      <w:pPr>
        <w:ind w:left="400"/>
      </w:pPr>
      <w:r>
        <w:t>Единица измерения:</w:t>
      </w:r>
      <w:r>
        <w:rPr>
          <w:rStyle w:val="Subst"/>
        </w:rPr>
        <w:t xml:space="preserve"> тыс. руб.</w:t>
      </w:r>
    </w:p>
    <w:p w:rsidR="00B20811" w:rsidRDefault="00B20811">
      <w:pPr>
        <w:ind w:left="400"/>
      </w:pPr>
    </w:p>
    <w:p w:rsidR="00B20811" w:rsidRDefault="00B20811">
      <w:pPr>
        <w:ind w:left="400"/>
      </w:pPr>
      <w:r>
        <w:t>Наименование вида продукции (работ, услуг):</w:t>
      </w:r>
      <w:r>
        <w:rPr>
          <w:rStyle w:val="Subst"/>
        </w:rPr>
        <w:t xml:space="preserve"> Основной  хозяйственной деятельностью эмитента является привлечение средств, в результате размещения облигаций, и направление инвестиций в промышленность  (добыча урановых руд), путем предоставления займов Закрытому акционерному обществу «Далур», предоставившему обеспечение для выпуска Облигаций (Поручитель).</w:t>
      </w:r>
    </w:p>
    <w:p w:rsidR="00B20811" w:rsidRDefault="00B20811">
      <w:pPr>
        <w:pStyle w:val="ThinDelim"/>
      </w:pPr>
    </w:p>
    <w:tbl>
      <w:tblPr>
        <w:tblW w:w="9286" w:type="dxa"/>
        <w:tblLayout w:type="fixed"/>
        <w:tblCellMar>
          <w:left w:w="72" w:type="dxa"/>
          <w:right w:w="72" w:type="dxa"/>
        </w:tblCellMar>
        <w:tblLook w:val="0000"/>
      </w:tblPr>
      <w:tblGrid>
        <w:gridCol w:w="7018"/>
        <w:gridCol w:w="1134"/>
        <w:gridCol w:w="1134"/>
      </w:tblGrid>
      <w:tr w:rsidR="00B20811" w:rsidRPr="00C76478" w:rsidTr="00B20811">
        <w:tc>
          <w:tcPr>
            <w:tcW w:w="7018"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1134"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2009, 6 мес.</w:t>
            </w:r>
          </w:p>
        </w:tc>
        <w:tc>
          <w:tcPr>
            <w:tcW w:w="1134"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2010, 6 мес.</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Объем выручки (доходов) от данного вида хозяйственной деятельности, тыс. руб.</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8 584</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7018"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Доля объема выручки (доходов) от данного вида хозяйственной деятельности в общем объеме выручки (доходов) эмитента, %</w:t>
            </w:r>
          </w:p>
        </w:tc>
        <w:tc>
          <w:tcPr>
            <w:tcW w:w="1134"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100</w:t>
            </w:r>
          </w:p>
        </w:tc>
        <w:tc>
          <w:tcPr>
            <w:tcW w:w="1134"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bl>
    <w:p w:rsidR="00B20811" w:rsidRDefault="00B20811"/>
    <w:p w:rsidR="00B20811" w:rsidRDefault="00B20811">
      <w:pPr>
        <w:pStyle w:val="SubHeading"/>
        <w:ind w:left="400"/>
      </w:pPr>
      <w:r>
        <w:t>Изменения размера выручки (доходов) эмитента от основной хозяйственной деятельности на 10 и более процентов по сравнению с соответствующим отчетным периодом предшествующего года и причины таких изменений</w:t>
      </w:r>
    </w:p>
    <w:p w:rsidR="00B20811" w:rsidRDefault="00B20811">
      <w:pPr>
        <w:ind w:left="600"/>
      </w:pPr>
      <w:r>
        <w:rPr>
          <w:rStyle w:val="Subst"/>
        </w:rPr>
        <w:t>В 2007 году Эмитент не осуществлял хозяйственную деятельность. После размещения облигаций 12.02.2008 года Эмитент направил инвестиции в промышленность (добыча урановых руд), в результате чего Эмитент получал стабильный доход. 11 февраля 2009 г. для погашения облигационного займа  Эмитентом по требованию Владельцев Облигаций, поручитель ЗАО «Далур» досрочно  погасил долгосрочный заем в размере 507 412 тыс. рублей. С марта 2009 г. Эмитент не получает доход.</w:t>
      </w:r>
      <w:r>
        <w:rPr>
          <w:rStyle w:val="Subst"/>
        </w:rPr>
        <w:br/>
        <w:t>Эмитент ведет свою основную хозяйственную деятельность только в Российской Федерации.</w:t>
      </w:r>
    </w:p>
    <w:p w:rsidR="00B20811" w:rsidRDefault="00B20811">
      <w:pPr>
        <w:ind w:left="400"/>
      </w:pPr>
    </w:p>
    <w:p w:rsidR="00B20811" w:rsidRDefault="00B20811">
      <w:pPr>
        <w:ind w:left="200"/>
      </w:pPr>
    </w:p>
    <w:p w:rsidR="00B20811" w:rsidRDefault="00B20811">
      <w:pPr>
        <w:ind w:left="200"/>
      </w:pPr>
    </w:p>
    <w:p w:rsidR="00B20811" w:rsidRDefault="00B20811">
      <w:pPr>
        <w:pStyle w:val="SubHeading"/>
        <w:ind w:left="200"/>
      </w:pPr>
      <w:r>
        <w:t>Сезонный характер основной хозяйственной деятельности эмитента</w:t>
      </w:r>
    </w:p>
    <w:p w:rsidR="00B20811" w:rsidRDefault="00B20811">
      <w:pPr>
        <w:ind w:left="400"/>
      </w:pPr>
      <w:r>
        <w:rPr>
          <w:rStyle w:val="Subst"/>
        </w:rPr>
        <w:t>Основная хозяйственная деятельность эмитента не имеет сезонного характера</w:t>
      </w:r>
    </w:p>
    <w:p w:rsidR="00B20811" w:rsidRDefault="00B20811">
      <w:pPr>
        <w:pStyle w:val="SubHeading"/>
        <w:ind w:left="200"/>
      </w:pPr>
      <w:r>
        <w:t>Общая структура себестоимости эмитента</w:t>
      </w:r>
    </w:p>
    <w:p w:rsidR="00B20811" w:rsidRDefault="00B20811">
      <w:pPr>
        <w:pStyle w:val="ThinDelim"/>
      </w:pPr>
    </w:p>
    <w:tbl>
      <w:tblPr>
        <w:tblW w:w="9286" w:type="dxa"/>
        <w:tblLayout w:type="fixed"/>
        <w:tblCellMar>
          <w:left w:w="72" w:type="dxa"/>
          <w:right w:w="72" w:type="dxa"/>
        </w:tblCellMar>
        <w:tblLook w:val="0000"/>
      </w:tblPr>
      <w:tblGrid>
        <w:gridCol w:w="8010"/>
        <w:gridCol w:w="1276"/>
      </w:tblGrid>
      <w:tr w:rsidR="00B20811" w:rsidRPr="00C76478" w:rsidTr="00B20811">
        <w:tc>
          <w:tcPr>
            <w:tcW w:w="8010"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1276"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2010, 6 мес.</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Сырье и материалы, %</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Приобретенные комплектующие изделия, полуфабрикаты, %</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Работы и услуги производственного характера, выполненные сторонними организациями, %</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Топливо, %</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Энергия, %</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Затраты на оплату труда, %</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Проценты по кредитам, %</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Арендная плата, %</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Отчисления на социальные нужды, %</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Амортизация основных средств, %</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Налоги, включаемые в себестоимость продукции, %</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затраты (пояснить)</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 затраты на  производство и продажу продукции (работ, услуг) (себестоимость), %</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100</w:t>
            </w:r>
          </w:p>
        </w:tc>
      </w:tr>
      <w:tr w:rsidR="00B20811" w:rsidRPr="00C76478" w:rsidTr="00B20811">
        <w:tc>
          <w:tcPr>
            <w:tcW w:w="8010"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Справочно: Выручка  от  продажи  продукции (работ, услуг), %</w:t>
            </w:r>
          </w:p>
        </w:tc>
        <w:tc>
          <w:tcPr>
            <w:tcW w:w="1276"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bl>
    <w:p w:rsidR="00B20811" w:rsidRDefault="00B20811"/>
    <w:p w:rsidR="00B20811" w:rsidRDefault="00B20811">
      <w:pPr>
        <w:pStyle w:val="SubHeading"/>
        <w:ind w:left="200"/>
      </w:pPr>
      <w: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B20811" w:rsidRDefault="00B20811">
      <w:pPr>
        <w:ind w:left="400"/>
      </w:pPr>
      <w:r>
        <w:rPr>
          <w:rStyle w:val="Subst"/>
        </w:rPr>
        <w:t>Имеющих существенное значение новых видов продукции (работ, услуг) нет</w:t>
      </w:r>
    </w:p>
    <w:p w:rsidR="00B20811" w:rsidRDefault="00B20811">
      <w:pPr>
        <w:ind w:left="200"/>
      </w:pPr>
      <w:r>
        <w:lastRenderedPageBreak/>
        <w:t>Стандарты (правила), в соответствии с которыми подготовлена бухгалтерская отчетность и произведены расчеты, отраженные в настоящем пункте ежеквартального отчета:</w:t>
      </w:r>
      <w:r>
        <w:br/>
      </w:r>
    </w:p>
    <w:p w:rsidR="00B20811" w:rsidRDefault="00B20811">
      <w:pPr>
        <w:pStyle w:val="2"/>
      </w:pPr>
      <w:r>
        <w:t>3.2.3. Материалы, товары (сырье) и поставщики эмитента</w:t>
      </w:r>
    </w:p>
    <w:p w:rsidR="00B20811" w:rsidRDefault="00B20811">
      <w:pPr>
        <w:pStyle w:val="SubHeading"/>
        <w:ind w:left="200"/>
      </w:pPr>
      <w:r>
        <w:t>За отчетный квартал</w:t>
      </w:r>
    </w:p>
    <w:p w:rsidR="00B20811" w:rsidRDefault="00B20811">
      <w:pPr>
        <w:ind w:left="400"/>
      </w:pPr>
      <w:r>
        <w:t>Поставщики эмитента, на которых приходится не менее 10 процентов всех поставок материалов и товаров (сырья)</w:t>
      </w:r>
    </w:p>
    <w:p w:rsidR="00B20811" w:rsidRDefault="00B20811">
      <w:pPr>
        <w:ind w:left="400"/>
      </w:pPr>
      <w:r>
        <w:rPr>
          <w:rStyle w:val="Subst"/>
        </w:rPr>
        <w:t>Поставщиков, на которых приходится не менее 10 процентов всех поставок материалов и товаров (сырья), не имеется</w:t>
      </w:r>
    </w:p>
    <w:p w:rsidR="00B20811" w:rsidRDefault="00B20811">
      <w:pPr>
        <w:pStyle w:val="SubHeading"/>
        <w:ind w:left="400"/>
      </w:pPr>
      <w: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B20811" w:rsidRDefault="00B20811">
      <w:pPr>
        <w:ind w:left="600"/>
      </w:pPr>
      <w:r>
        <w:rPr>
          <w:rStyle w:val="Subst"/>
        </w:rPr>
        <w:t>Изменения цен более чем на 10% на основные материалы и товары (сырье) в течение соответствующего отчетного периода не было</w:t>
      </w:r>
    </w:p>
    <w:p w:rsidR="00B20811" w:rsidRDefault="00B20811">
      <w:pPr>
        <w:pStyle w:val="SubHeading"/>
        <w:ind w:left="400"/>
      </w:pPr>
      <w:r>
        <w:t>Доля импорта в поставках материалов и товаров, прогноз доступности источников импорта в будущем и возможные альтернативные источники</w:t>
      </w:r>
    </w:p>
    <w:p w:rsidR="00B20811" w:rsidRDefault="00B20811">
      <w:pPr>
        <w:ind w:left="600"/>
      </w:pPr>
      <w:r>
        <w:rPr>
          <w:rStyle w:val="Subst"/>
        </w:rPr>
        <w:t>Импортные поставки отсутствуют</w:t>
      </w:r>
    </w:p>
    <w:p w:rsidR="00B20811" w:rsidRDefault="00B20811">
      <w:pPr>
        <w:pStyle w:val="2"/>
      </w:pPr>
      <w:r>
        <w:t>3.2.4. Рынки сбыта продукции (работ, услуг) эмитента</w:t>
      </w:r>
    </w:p>
    <w:p w:rsidR="00B20811" w:rsidRDefault="00B20811">
      <w:pPr>
        <w:ind w:left="200"/>
      </w:pPr>
      <w:r>
        <w:t>Основные рынки, на которых эмитент осуществляет свою деятельность:</w:t>
      </w:r>
      <w:r>
        <w:br/>
      </w:r>
      <w:r>
        <w:rPr>
          <w:rStyle w:val="Subst"/>
        </w:rPr>
        <w:t>С момента государственной регистрации основной для эмитента хозяйственной деятельностью является привлечение средств от размещения облигаций, и  направление их на инвестиции в промышленность (добыча урановых руд) путем предоставления займа ЗАО «Далур» предоставившему обеспечение для выпуска облигаций.</w:t>
      </w:r>
    </w:p>
    <w:p w:rsidR="00B20811" w:rsidRDefault="00B20811">
      <w:pPr>
        <w:ind w:left="200"/>
      </w:pPr>
      <w:r>
        <w:t>Факторы, которые могут негативно повлиять на сбыт эмитентом его продукции (работ, услуг), и возможные действия эмитента по уменьшению такого влияния:</w:t>
      </w:r>
      <w:r>
        <w:br/>
      </w:r>
      <w:r>
        <w:rPr>
          <w:rStyle w:val="Subst"/>
        </w:rPr>
        <w:t xml:space="preserve">Факторов, которые могут негативно повлиять на сбыт эмитентом его продукции (работ, услуг) не имеется. </w:t>
      </w:r>
      <w:r>
        <w:rPr>
          <w:rStyle w:val="Subst"/>
        </w:rPr>
        <w:br/>
        <w:t>Финансовая  деятельность, в том числе операции с ценными бумагами относятся к видам деятельности, связанным с высоким уровнем риска. Однако предоставление долгового финансирования на возвратной основе (в форме займов или приобретения векселей) в целом признается менее рискованной по сравнению с приобретением акций. К числу основных рисков, с которыми может столкнуться Эмитент в процессе своей деятельности, относятся:</w:t>
      </w:r>
      <w:r>
        <w:rPr>
          <w:rStyle w:val="Subst"/>
        </w:rPr>
        <w:br/>
        <w:t>- ухудшение финансового состояния Эмитента и Поручителя (Закрытого акционерного общества   «Далур» (Поручитель), которое негативно отразится на способности Поручителя обслуживать долговые обязательства;</w:t>
      </w:r>
      <w:r>
        <w:rPr>
          <w:rStyle w:val="Subst"/>
        </w:rPr>
        <w:br/>
        <w:t>- несовпадение сроков и стоимости заимствований между выпущенными Эмитентом Облигациями и заемными средствами, предоставленными Закрытому акционерному обществу «Далур» (Поручитель).</w:t>
      </w:r>
      <w:r>
        <w:rPr>
          <w:rStyle w:val="Subst"/>
        </w:rPr>
        <w:br/>
      </w:r>
      <w:r>
        <w:rPr>
          <w:rStyle w:val="Subst"/>
        </w:rPr>
        <w:br/>
        <w:t>Возможные действия эмитента по уменьшению такого влияния:</w:t>
      </w:r>
      <w:r>
        <w:rPr>
          <w:rStyle w:val="Subst"/>
        </w:rPr>
        <w:br/>
        <w:t>-  размещать средства, полученные путем выпуска Облигаций, с доходностью не ниже, чем процентная ставка по Облигациям плюс все расходы, связанные с организацией и обслуживанием выпуска облигаций,</w:t>
      </w:r>
      <w:r>
        <w:rPr>
          <w:rStyle w:val="Subst"/>
        </w:rPr>
        <w:br/>
        <w:t>- в случае необходимости – пересматривать норму доходности вложений, требуемую для исполнения обязательств по Облигациям,</w:t>
      </w:r>
      <w:r>
        <w:rPr>
          <w:rStyle w:val="Subst"/>
        </w:rPr>
        <w:br/>
        <w:t>- установить срок, на который предоставляются заемные средства, меньшим, чем срок обращения Облигаций.</w:t>
      </w:r>
    </w:p>
    <w:p w:rsidR="00B20811" w:rsidRDefault="00B20811">
      <w:pPr>
        <w:pStyle w:val="2"/>
      </w:pPr>
      <w:r>
        <w:t>3.2.5. Сведения о наличии у эмитента лицензий</w:t>
      </w:r>
    </w:p>
    <w:p w:rsidR="00B20811" w:rsidRDefault="00B20811">
      <w:pPr>
        <w:ind w:left="200"/>
      </w:pPr>
      <w:r>
        <w:rPr>
          <w:rStyle w:val="Subst"/>
        </w:rPr>
        <w:t>Эмитент лицензий не имеет</w:t>
      </w:r>
    </w:p>
    <w:p w:rsidR="00B20811" w:rsidRDefault="00B20811">
      <w:pPr>
        <w:pStyle w:val="2"/>
      </w:pPr>
      <w:r>
        <w:t>3.2.6. Совместная деятельность эмитента</w:t>
      </w:r>
    </w:p>
    <w:p w:rsidR="00B20811" w:rsidRDefault="00B20811">
      <w:pPr>
        <w:ind w:left="200"/>
      </w:pPr>
      <w:r>
        <w:rPr>
          <w:rStyle w:val="Subst"/>
        </w:rPr>
        <w:t>Эмитент не ведет совместную деятельность с другими организациями</w:t>
      </w:r>
    </w:p>
    <w:p w:rsidR="00B20811" w:rsidRDefault="00B20811">
      <w:pPr>
        <w:pStyle w:val="2"/>
      </w:pPr>
      <w:r>
        <w:lastRenderedPageBreak/>
        <w:t>3.3. Планы будущей деятельности эмитента</w:t>
      </w:r>
    </w:p>
    <w:p w:rsidR="00B20811" w:rsidRDefault="00B20811">
      <w:pPr>
        <w:ind w:left="200"/>
      </w:pPr>
      <w:r>
        <w:rPr>
          <w:rStyle w:val="Subst"/>
        </w:rPr>
        <w:t xml:space="preserve">Деятельность Эмитента не связана с производством продукции. </w:t>
      </w:r>
      <w:r>
        <w:rPr>
          <w:rStyle w:val="Subst"/>
        </w:rPr>
        <w:br/>
        <w:t>Источником будущих доходов являются доходы от финансовой  деятельности Эмитента.</w:t>
      </w:r>
      <w:r>
        <w:rPr>
          <w:rStyle w:val="Subst"/>
        </w:rPr>
        <w:br/>
        <w:t xml:space="preserve">Основными планами Эмитента являются: </w:t>
      </w:r>
      <w:r>
        <w:rPr>
          <w:rStyle w:val="Subst"/>
        </w:rPr>
        <w:br/>
        <w:t xml:space="preserve">- размещение Облигаций </w:t>
      </w:r>
      <w:r>
        <w:rPr>
          <w:rStyle w:val="Subst"/>
        </w:rPr>
        <w:br/>
        <w:t xml:space="preserve">- извлечение прибыли от финансовых операций; </w:t>
      </w:r>
      <w:r>
        <w:rPr>
          <w:rStyle w:val="Subst"/>
        </w:rPr>
        <w:br/>
        <w:t>- привлечение средств с фондового рынка (рынка ценных бумаг);</w:t>
      </w:r>
      <w:r>
        <w:rPr>
          <w:rStyle w:val="Subst"/>
        </w:rPr>
        <w:br/>
        <w:t>- размещение привлеченных средств в надежные и доходные финансовые активы, определяемые руководством Эмитента.</w:t>
      </w:r>
    </w:p>
    <w:p w:rsidR="00B20811" w:rsidRDefault="00B20811">
      <w:pPr>
        <w:pStyle w:val="2"/>
      </w:pPr>
      <w:r>
        <w:t>3.4. Участие эмитента в промышленных, банковских и финансовых группах, холдингах, концернах и ассоциациях</w:t>
      </w:r>
    </w:p>
    <w:p w:rsidR="00B20811" w:rsidRDefault="00B20811">
      <w:pPr>
        <w:ind w:left="200"/>
      </w:pPr>
      <w:r>
        <w:rPr>
          <w:rStyle w:val="Subst"/>
        </w:rPr>
        <w:t>Эмитент не участвует в промышленных, банковских и финансовых группах, холдингах, концернах и ассоциациях</w:t>
      </w:r>
    </w:p>
    <w:p w:rsidR="00B20811" w:rsidRDefault="00B20811">
      <w:pPr>
        <w:pStyle w:val="2"/>
      </w:pPr>
      <w:r>
        <w:t>3.5. Дочерние и зависимые хозяйственные общества эмитента</w:t>
      </w:r>
    </w:p>
    <w:p w:rsidR="00B20811" w:rsidRDefault="00B20811">
      <w:pPr>
        <w:ind w:left="200"/>
      </w:pPr>
      <w:r>
        <w:rPr>
          <w:rStyle w:val="Subst"/>
        </w:rPr>
        <w:t>Эмитент дочерних и/или зависимых обществ не имеет</w:t>
      </w:r>
    </w:p>
    <w:p w:rsidR="00B20811" w:rsidRDefault="00B20811">
      <w:pPr>
        <w:pStyle w:val="2"/>
      </w:pPr>
      <w: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p>
    <w:p w:rsidR="00B20811" w:rsidRDefault="00B20811">
      <w:pPr>
        <w:pStyle w:val="2"/>
      </w:pPr>
      <w:r>
        <w:t>3.6.1. Основные средства</w:t>
      </w:r>
    </w:p>
    <w:p w:rsidR="00B20811" w:rsidRDefault="00B20811">
      <w:pPr>
        <w:pStyle w:val="SubHeading"/>
        <w:ind w:left="200"/>
      </w:pPr>
      <w:r>
        <w:t>На дату окончания отчетного квартала</w:t>
      </w:r>
    </w:p>
    <w:p w:rsidR="00B20811" w:rsidRDefault="00B20811">
      <w:pPr>
        <w:ind w:left="400"/>
      </w:pPr>
      <w:r>
        <w:rPr>
          <w:rStyle w:val="Subst"/>
        </w:rPr>
        <w:t>Основные средства у эмитента отсутствуют</w:t>
      </w:r>
    </w:p>
    <w:p w:rsidR="00B20811" w:rsidRDefault="00B20811">
      <w:pPr>
        <w:ind w:left="200"/>
      </w:pPr>
      <w:r>
        <w:t>Результаты последней переоценки основных средств и долгосрочно арендуемых основных средств, осуществленной за 5 завершенных финансовых лет, предшествующих отчетному кварталу, либо за каждый завершенный финансовый год, предшествующий отчетному кварталу, если эмитент осуществляет свою деятельность менее 5 лет, и за отчетный квартал</w:t>
      </w:r>
    </w:p>
    <w:p w:rsidR="00B20811" w:rsidRDefault="00B20811">
      <w:pPr>
        <w:ind w:left="200"/>
      </w:pPr>
      <w:r>
        <w:rPr>
          <w:rStyle w:val="Subst"/>
        </w:rPr>
        <w:t>Переоценка основных средств за указанный период не проводилась</w:t>
      </w:r>
    </w:p>
    <w:p w:rsidR="00B20811" w:rsidRDefault="00B20811">
      <w:pPr>
        <w:ind w:left="200"/>
      </w:pPr>
      <w:r>
        <w:t>Указываются сведения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момента возникновения обременения, срока его действия и иных условий по усмотрению эмитента), существующих на дату окончания последнего завершенного отчетного периода:</w:t>
      </w:r>
      <w:r>
        <w:br/>
      </w:r>
    </w:p>
    <w:p w:rsidR="00B20811" w:rsidRDefault="00B20811">
      <w:pPr>
        <w:pStyle w:val="1"/>
      </w:pPr>
      <w:r>
        <w:t>IV. Сведения о финансово-хозяйственной деятельности эмитента</w:t>
      </w:r>
    </w:p>
    <w:p w:rsidR="00B20811" w:rsidRDefault="00B20811">
      <w:pPr>
        <w:pStyle w:val="2"/>
      </w:pPr>
      <w:r>
        <w:t>4.1. Результаты финансово-хозяйственной деятельности эмитента</w:t>
      </w:r>
    </w:p>
    <w:p w:rsidR="00B20811" w:rsidRDefault="00B20811">
      <w:pPr>
        <w:pStyle w:val="2"/>
      </w:pPr>
      <w:r>
        <w:t>4.1.1. Прибыль и убытки</w:t>
      </w:r>
    </w:p>
    <w:p w:rsidR="00B20811" w:rsidRDefault="00B20811">
      <w:pPr>
        <w:ind w:left="200"/>
      </w:pPr>
      <w:r>
        <w:t>Единица измерения:</w:t>
      </w:r>
      <w:r>
        <w:rPr>
          <w:rStyle w:val="Subst"/>
        </w:rPr>
        <w:t xml:space="preserve"> тыс. руб.</w:t>
      </w:r>
    </w:p>
    <w:p w:rsidR="00B20811" w:rsidRDefault="00B20811">
      <w:pPr>
        <w:pStyle w:val="ThinDelim"/>
      </w:pPr>
    </w:p>
    <w:tbl>
      <w:tblPr>
        <w:tblW w:w="9286" w:type="dxa"/>
        <w:tblLayout w:type="fixed"/>
        <w:tblCellMar>
          <w:left w:w="72" w:type="dxa"/>
          <w:right w:w="72" w:type="dxa"/>
        </w:tblCellMar>
        <w:tblLook w:val="0000"/>
      </w:tblPr>
      <w:tblGrid>
        <w:gridCol w:w="7018"/>
        <w:gridCol w:w="1134"/>
        <w:gridCol w:w="1134"/>
      </w:tblGrid>
      <w:tr w:rsidR="00B20811" w:rsidRPr="00C76478" w:rsidTr="00B20811">
        <w:tc>
          <w:tcPr>
            <w:tcW w:w="7018"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1134"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2009, 6 мес.</w:t>
            </w:r>
          </w:p>
        </w:tc>
        <w:tc>
          <w:tcPr>
            <w:tcW w:w="1134"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2010, 6 мес.</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Выручка</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Валовая прибыль</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Чистая прибыль (нераспределенная прибыль (непокрытый убыток)</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-3 233</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-2 680</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Рентабельность собственного капитала, %</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Рентабельность активов, %</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Коэффициент чистой прибыльности, %</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lastRenderedPageBreak/>
              <w:t>Рентабельность продукции (продаж), %</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Оборачиваемость капитала</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Сумма непокрытого убытка на отчетную дату</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-2 429</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-7 753</w:t>
            </w:r>
          </w:p>
        </w:tc>
      </w:tr>
      <w:tr w:rsidR="00B20811" w:rsidRPr="00C76478" w:rsidTr="00B20811">
        <w:tc>
          <w:tcPr>
            <w:tcW w:w="7018"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Соотношение непокрытого убытка на отчетную дату и валюты баланса</w:t>
            </w:r>
          </w:p>
        </w:tc>
        <w:tc>
          <w:tcPr>
            <w:tcW w:w="1134"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-0.233</w:t>
            </w:r>
          </w:p>
        </w:tc>
        <w:tc>
          <w:tcPr>
            <w:tcW w:w="1134"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-1.128</w:t>
            </w:r>
          </w:p>
        </w:tc>
      </w:tr>
    </w:tbl>
    <w:p w:rsidR="00B20811" w:rsidRDefault="00B20811"/>
    <w:p w:rsidR="00B20811" w:rsidRDefault="00B20811">
      <w:pPr>
        <w:ind w:left="200"/>
      </w:pPr>
    </w:p>
    <w:p w:rsidR="00B20811" w:rsidRDefault="00B20811">
      <w:pPr>
        <w:pStyle w:val="ThinDelim"/>
      </w:pPr>
    </w:p>
    <w:p w:rsidR="00B20811" w:rsidRDefault="00B20811">
      <w:pPr>
        <w:ind w:left="200"/>
      </w:pPr>
      <w:r>
        <w:t>Экономический анализ прибыльности/убыточности эмитента исходя из динамики приведенных показателей. В том числе раскрывается информация о причинах, которые, по мнению органов управления эмитента, привели к убыткам/прибыли эмитента, отраженным в бухгалтерской отчетности по состоянию на момент окончания отчетного квартала в сравнении с аналогичным периодом предшествующего года (предшествующих лет):</w:t>
      </w:r>
      <w:r>
        <w:br/>
      </w:r>
      <w:r>
        <w:rPr>
          <w:rStyle w:val="Subst"/>
        </w:rPr>
        <w:t>11 февраля 2009 г. ЗАО «Далур» погасило досрочно долгосрочный заем в размере 507 412 тыс. рублей, поэтому с марта 2009 г. Эмитент дохода не имеет. Расходы в основном возникли в результате начисления купонного дохода по облигациям, и процентов к уплате за пользование займом,  полученным в ЗАО «Далур". Соответственно Эмитент получает  убытки.</w:t>
      </w:r>
      <w:r>
        <w:rPr>
          <w:rStyle w:val="Subst"/>
        </w:rPr>
        <w:br/>
        <w:t xml:space="preserve"> Эмитент занимается только эмиссионной деятельностью, поэтому выручки от продажи и услуг нет, соответственно отсутствуют показатели, зависящие от этой величины. </w:t>
      </w:r>
      <w:r>
        <w:rPr>
          <w:rStyle w:val="Subst"/>
        </w:rPr>
        <w:tab/>
      </w:r>
      <w:r>
        <w:rPr>
          <w:rStyle w:val="Subst"/>
        </w:rPr>
        <w:br/>
        <w:t>Мнения органов управления относительно упомянутых причин и/или степени их влияния на показатели финансово-хозяйственной деятельности Эмитента совпадают.</w:t>
      </w:r>
    </w:p>
    <w:p w:rsidR="00B20811" w:rsidRDefault="00B20811">
      <w:pPr>
        <w:pStyle w:val="2"/>
      </w:pPr>
      <w:r>
        <w:t>4.1.2. 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p>
    <w:p w:rsidR="00B20811" w:rsidRDefault="00B20811">
      <w:pPr>
        <w:ind w:left="200"/>
      </w:pPr>
      <w:r>
        <w:rPr>
          <w:rStyle w:val="Subst"/>
        </w:rPr>
        <w:t>Эмитент занимается только эмиссионной деятельностью, поэтому выручки от продажи товаров и услуг нет. Соответственно отсутствуют показатели, зависящие от этой величины, и факторы оказывающие влияние на размер выручки.</w:t>
      </w:r>
    </w:p>
    <w:p w:rsidR="00B20811" w:rsidRDefault="00B20811">
      <w:pPr>
        <w:pStyle w:val="2"/>
      </w:pPr>
      <w:r>
        <w:t>4.2. Ликвидность эмитента, достаточность капитала и оборотных средств</w:t>
      </w:r>
    </w:p>
    <w:p w:rsidR="00B20811" w:rsidRDefault="00B20811">
      <w:pPr>
        <w:ind w:left="200"/>
      </w:pPr>
      <w:r>
        <w:t>Единица измерения:</w:t>
      </w:r>
      <w:r>
        <w:rPr>
          <w:rStyle w:val="Subst"/>
        </w:rPr>
        <w:t xml:space="preserve"> тыс. руб.</w:t>
      </w:r>
    </w:p>
    <w:p w:rsidR="00B20811" w:rsidRDefault="00B20811">
      <w:pPr>
        <w:pStyle w:val="ThinDelim"/>
      </w:pPr>
    </w:p>
    <w:tbl>
      <w:tblPr>
        <w:tblW w:w="9286" w:type="dxa"/>
        <w:tblLayout w:type="fixed"/>
        <w:tblCellMar>
          <w:left w:w="72" w:type="dxa"/>
          <w:right w:w="72" w:type="dxa"/>
        </w:tblCellMar>
        <w:tblLook w:val="0000"/>
      </w:tblPr>
      <w:tblGrid>
        <w:gridCol w:w="7018"/>
        <w:gridCol w:w="1134"/>
        <w:gridCol w:w="1134"/>
      </w:tblGrid>
      <w:tr w:rsidR="00B20811" w:rsidRPr="00C76478" w:rsidTr="00B20811">
        <w:tc>
          <w:tcPr>
            <w:tcW w:w="7018"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1134"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2009, 6 мес.</w:t>
            </w:r>
          </w:p>
        </w:tc>
        <w:tc>
          <w:tcPr>
            <w:tcW w:w="1134"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2010, 6 мес.</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Собственные оборотные средства</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-2 179</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-7 503</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Индекс постоянного актива</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-0.024</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-0.005</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Коэффициент текущей ликвидности</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494.14</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0.475</w:t>
            </w:r>
          </w:p>
        </w:tc>
      </w:tr>
      <w:tr w:rsidR="00B20811" w:rsidRPr="00C76478" w:rsidTr="00B20811">
        <w:tc>
          <w:tcPr>
            <w:tcW w:w="7018"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Коэффициент быстрой ликвидности</w:t>
            </w:r>
          </w:p>
        </w:tc>
        <w:tc>
          <w:tcPr>
            <w:tcW w:w="1134"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49.14</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0.006</w:t>
            </w:r>
          </w:p>
        </w:tc>
      </w:tr>
      <w:tr w:rsidR="00B20811" w:rsidRPr="00C76478" w:rsidTr="00B20811">
        <w:tc>
          <w:tcPr>
            <w:tcW w:w="7018"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Коэффициент автономии собственных средств</w:t>
            </w:r>
          </w:p>
        </w:tc>
        <w:tc>
          <w:tcPr>
            <w:tcW w:w="1134"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-0.2089</w:t>
            </w:r>
          </w:p>
        </w:tc>
        <w:tc>
          <w:tcPr>
            <w:tcW w:w="1134"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-1.092</w:t>
            </w:r>
          </w:p>
        </w:tc>
      </w:tr>
    </w:tbl>
    <w:p w:rsidR="00B20811" w:rsidRDefault="00B20811"/>
    <w:p w:rsidR="00B20811" w:rsidRDefault="00B20811">
      <w:pPr>
        <w:ind w:left="200"/>
      </w:pPr>
    </w:p>
    <w:p w:rsidR="00B20811" w:rsidRDefault="00B20811">
      <w:pPr>
        <w:pStyle w:val="ThinDelim"/>
      </w:pPr>
    </w:p>
    <w:p w:rsidR="00B20811" w:rsidRDefault="00B20811">
      <w:pPr>
        <w:ind w:left="200"/>
      </w:pPr>
      <w:r>
        <w:t>Экономический анализ ликвидности и платежеспособности эмитента на основе экономического анализа динамики приведенных показателей:</w:t>
      </w:r>
      <w:r>
        <w:br/>
      </w:r>
      <w:r>
        <w:rPr>
          <w:rStyle w:val="Subst"/>
        </w:rPr>
        <w:t xml:space="preserve">В 2008 г.  Эмитентом предоставлен долгосрочный заем ЗАО «Далур», который отражен как долгосрочные финансовые вложения, поэтому Общество не имело собственных оборотных средств. В II квартале 2009 г. и II квартале 2010 г. Эмитентом получен убыток, поэтому  собственных оборотных средств нет.  </w:t>
      </w:r>
      <w:r>
        <w:rPr>
          <w:rStyle w:val="Subst"/>
        </w:rPr>
        <w:br/>
        <w:t>Коэффициенты текущей и быстрой ликвидности в II квартале 2010 г. по сравнению с II кварталом 2009 г. значительно снизились в связи с тем, что в 1 квартале 2010 г. Эмитент долгосрочный заем перевел в краткосрочный. У Эмитента недостаточно оборотных средств, чтобы быстро покрыть краткосрочные обязательства. Коэффициент автономии собственных средств показывает высокую зависимость Эмитента  от заемных источников финансирования.</w:t>
      </w:r>
      <w:r>
        <w:rPr>
          <w:rStyle w:val="Subst"/>
        </w:rPr>
        <w:br/>
        <w:t xml:space="preserve"> Мнения органов управления относительно упомянутых причин и/или степени их влияния на показатели финансово – хозяйственной деятельности Эмитента совпадают.</w:t>
      </w:r>
    </w:p>
    <w:p w:rsidR="00B20811" w:rsidRDefault="00B20811">
      <w:pPr>
        <w:pStyle w:val="2"/>
      </w:pPr>
      <w:r>
        <w:t>4.3. Размер и структура капитала и оборотных средств эмитента</w:t>
      </w:r>
    </w:p>
    <w:p w:rsidR="00B20811" w:rsidRDefault="00B20811">
      <w:pPr>
        <w:pStyle w:val="2"/>
      </w:pPr>
      <w:r>
        <w:lastRenderedPageBreak/>
        <w:t>4.3.1. Размер и структура капитала и оборотных средств эмитента</w:t>
      </w:r>
    </w:p>
    <w:p w:rsidR="00B20811" w:rsidRDefault="00B20811">
      <w:pPr>
        <w:ind w:left="200"/>
      </w:pPr>
      <w:r>
        <w:t>Единица измерения:</w:t>
      </w:r>
      <w:r>
        <w:rPr>
          <w:rStyle w:val="Subst"/>
        </w:rPr>
        <w:t xml:space="preserve"> тыс. руб.</w:t>
      </w:r>
    </w:p>
    <w:p w:rsidR="00B20811" w:rsidRDefault="00B20811">
      <w:pPr>
        <w:pStyle w:val="ThinDelim"/>
      </w:pPr>
    </w:p>
    <w:tbl>
      <w:tblPr>
        <w:tblW w:w="9286" w:type="dxa"/>
        <w:tblLayout w:type="fixed"/>
        <w:tblCellMar>
          <w:left w:w="72" w:type="dxa"/>
          <w:right w:w="72" w:type="dxa"/>
        </w:tblCellMar>
        <w:tblLook w:val="0000"/>
      </w:tblPr>
      <w:tblGrid>
        <w:gridCol w:w="8010"/>
        <w:gridCol w:w="1276"/>
      </w:tblGrid>
      <w:tr w:rsidR="00B20811" w:rsidRPr="00C76478" w:rsidTr="00B20811">
        <w:tc>
          <w:tcPr>
            <w:tcW w:w="8010"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1276"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2010, 6 мес.</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Размер уставного капитала</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250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Общая стоимость акций (долей) эмитента, выкупленных эмитентом для последующей перепродажи (передачи)</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Процент акций (долей), выкупленных эмитентом для последующей перепродажи (передачи), от размещенных акций (уставного капитала) эмитента</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Размер резервного капитала эмитента, формируемого за счет отчислений из прибыли эмитента</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Размер добавочного капитала эмитента, отражающий прирост стоимости активов, выявляемый по результатам переоценки, а также сумму разницы между продажной ценой (ценой размещения) и номинальной стоимостью акций (долей) общества за счет продажи акций (долей) по цене, превышающей номинальную стоимость</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Размер нераспределенной чистой прибыли эмитента</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-7 753</w:t>
            </w:r>
          </w:p>
        </w:tc>
      </w:tr>
      <w:tr w:rsidR="00B20811" w:rsidRPr="00C76478" w:rsidTr="00B20811">
        <w:tc>
          <w:tcPr>
            <w:tcW w:w="8010"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Общая сумма капитала эмитента</w:t>
            </w:r>
          </w:p>
        </w:tc>
        <w:tc>
          <w:tcPr>
            <w:tcW w:w="1276"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-7 503</w:t>
            </w:r>
          </w:p>
        </w:tc>
      </w:tr>
    </w:tbl>
    <w:p w:rsidR="00B20811" w:rsidRDefault="00B20811"/>
    <w:p w:rsidR="00B20811" w:rsidRDefault="00B20811">
      <w:pPr>
        <w:ind w:left="200"/>
      </w:pPr>
      <w:r>
        <w:rPr>
          <w:rStyle w:val="Subst"/>
        </w:rPr>
        <w:t>Размер уставного капитала, приведенный в настоящем пункте, соответствует учредительным документам эмитента</w:t>
      </w:r>
    </w:p>
    <w:p w:rsidR="00B20811" w:rsidRDefault="00B20811">
      <w:pPr>
        <w:ind w:left="200"/>
      </w:pPr>
    </w:p>
    <w:p w:rsidR="00B20811" w:rsidRDefault="00B20811">
      <w:pPr>
        <w:pStyle w:val="ThinDelim"/>
      </w:pPr>
    </w:p>
    <w:p w:rsidR="00B20811" w:rsidRDefault="00B20811">
      <w:pPr>
        <w:pStyle w:val="SubHeading"/>
        <w:ind w:left="200"/>
      </w:pPr>
      <w:r>
        <w:t>Структура и размер оборотных средств эмитента в соответствии с бухгалтерской отчетностью эмитента</w:t>
      </w:r>
    </w:p>
    <w:p w:rsidR="00B20811" w:rsidRDefault="00B20811">
      <w:pPr>
        <w:pStyle w:val="ThinDelim"/>
      </w:pPr>
    </w:p>
    <w:tbl>
      <w:tblPr>
        <w:tblW w:w="9286" w:type="dxa"/>
        <w:tblLayout w:type="fixed"/>
        <w:tblCellMar>
          <w:left w:w="72" w:type="dxa"/>
          <w:right w:w="72" w:type="dxa"/>
        </w:tblCellMar>
        <w:tblLook w:val="0000"/>
      </w:tblPr>
      <w:tblGrid>
        <w:gridCol w:w="8010"/>
        <w:gridCol w:w="1276"/>
      </w:tblGrid>
      <w:tr w:rsidR="00B20811" w:rsidRPr="00C76478" w:rsidTr="00B20811">
        <w:tc>
          <w:tcPr>
            <w:tcW w:w="8010"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1276"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2010, 6 мес.</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 Оборотные активы</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6 871</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Запасы</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6 740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сырье, материалы и другие аналогичные ценности</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животные на выращивании и откорме</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затраты в незавершенном производстве</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готовая продукция и товары для перепродажи</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товары отгруженные</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расходы будущих периодов</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6 740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запасы и затраты</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Налог на добавленную стоимость по приобретенным ценностям</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Дебиторская задолженность (платежи по которой ожидаются более чем через 12 месяцев после отчетной даты)</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39</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покупатели и заказчики</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Дебиторская задолженность (платежи по которой ожидаются в течение 12 месяцев после отчетной даты)</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7</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покупатели и заказчики</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Краткосрочные финансовые вложения</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rsidTr="00B20811">
        <w:tc>
          <w:tcPr>
            <w:tcW w:w="8010"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Денежные средства</w:t>
            </w:r>
          </w:p>
        </w:tc>
        <w:tc>
          <w:tcPr>
            <w:tcW w:w="1276"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85</w:t>
            </w:r>
          </w:p>
        </w:tc>
      </w:tr>
      <w:tr w:rsidR="00B20811" w:rsidRPr="00C76478" w:rsidTr="00B20811">
        <w:tc>
          <w:tcPr>
            <w:tcW w:w="8010"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оборотные активы</w:t>
            </w:r>
          </w:p>
        </w:tc>
        <w:tc>
          <w:tcPr>
            <w:tcW w:w="1276"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bl>
    <w:p w:rsidR="00B20811" w:rsidRDefault="00B20811"/>
    <w:p w:rsidR="00B20811" w:rsidRDefault="00B20811">
      <w:pPr>
        <w:ind w:left="200"/>
      </w:pPr>
      <w:r>
        <w:t>Источники финансирования оборотных средств эмитента (собственные источники, займы, кредиты):</w:t>
      </w:r>
      <w:r>
        <w:br/>
      </w:r>
      <w:r>
        <w:rPr>
          <w:rStyle w:val="Subst"/>
        </w:rPr>
        <w:t>финансирование оборотных средств осуществлялось за счет займа  в размере 12 588 тыс.руб., кредиторской задолженности в сумме 1786 тыс.руб.</w:t>
      </w:r>
    </w:p>
    <w:p w:rsidR="00B20811" w:rsidRDefault="00B20811">
      <w:pPr>
        <w:ind w:left="200"/>
      </w:pPr>
      <w:r>
        <w:t>Политика эмитента по финансированию оборотных средств, а также факторы, которые могут повлечь изменение в политике финансирования оборотных средств, и оценка вероятности их появления:</w:t>
      </w:r>
      <w:r>
        <w:br/>
      </w:r>
      <w:r>
        <w:rPr>
          <w:rStyle w:val="Subst"/>
        </w:rPr>
        <w:lastRenderedPageBreak/>
        <w:t xml:space="preserve">На 31.06.2010 г.  основной  хозяйственной деятельностью эмитента является привлечение средств, полученных в результате размещения облигаций, и направление инвестиций в промышленность  (добыча урановых руд), путем предоставления займов Закрытому акционерному обществу «Далур», предоставившему обеспечение для выпуска Облигаций (Поручитель). Соответственно финансирование оборотных средств будет зависить от  долгосрочных заимствований. </w:t>
      </w:r>
      <w:r>
        <w:rPr>
          <w:rStyle w:val="Subst"/>
        </w:rPr>
        <w:br/>
        <w:t>На дату окончания отчетного периода (II квартал 2010 г.) политика Эмитента по финансированию оборотных средств отсутствует, определить факторы, которые могут повлечь изменение в политике финансирования оборотных средств и оценить вероятности появления таких факторов невозможно.</w:t>
      </w:r>
      <w:r>
        <w:rPr>
          <w:rStyle w:val="Subst"/>
        </w:rPr>
        <w:br/>
      </w:r>
      <w:r>
        <w:rPr>
          <w:rStyle w:val="Subst"/>
        </w:rPr>
        <w:br/>
        <w:t>Мнения органов управления относительно упомянутых причин и/или степени их влияния на показатели финансово – хозяйственной деятельности Эмитента совпадают.</w:t>
      </w:r>
    </w:p>
    <w:p w:rsidR="00B20811" w:rsidRDefault="00B20811">
      <w:pPr>
        <w:ind w:left="200"/>
      </w:pPr>
    </w:p>
    <w:p w:rsidR="00B20811" w:rsidRDefault="00B20811">
      <w:pPr>
        <w:pStyle w:val="2"/>
      </w:pPr>
      <w:r>
        <w:t>4.3.2. Финансовые вложения эмитента</w:t>
      </w:r>
    </w:p>
    <w:p w:rsidR="00B20811" w:rsidRDefault="00B20811">
      <w:pPr>
        <w:pStyle w:val="SubHeading"/>
        <w:ind w:left="200"/>
      </w:pPr>
      <w:r>
        <w:t>На дату окончания отчетного квартала</w:t>
      </w:r>
    </w:p>
    <w:p w:rsidR="00B20811" w:rsidRDefault="00B20811">
      <w:pPr>
        <w:ind w:left="400"/>
      </w:pPr>
      <w:r>
        <w:rPr>
          <w:rStyle w:val="Subst"/>
        </w:rPr>
        <w:t>Финансовых вложений, составляющих 10 и более процентов всех финансовых вложений, нет</w:t>
      </w:r>
    </w:p>
    <w:p w:rsidR="00B20811" w:rsidRDefault="00B20811">
      <w:pPr>
        <w:pStyle w:val="ThinDelim"/>
      </w:pPr>
    </w:p>
    <w:p w:rsidR="00B20811" w:rsidRDefault="00B20811">
      <w:pPr>
        <w:pStyle w:val="ThinDelim"/>
      </w:pPr>
    </w:p>
    <w:p w:rsidR="00B20811" w:rsidRDefault="00B20811">
      <w:pPr>
        <w:ind w:left="400"/>
      </w:pPr>
      <w:r>
        <w:t>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w:t>
      </w:r>
      <w:r>
        <w:br/>
      </w:r>
    </w:p>
    <w:p w:rsidR="00B20811" w:rsidRDefault="00B20811">
      <w:pPr>
        <w:ind w:left="400"/>
      </w:pPr>
    </w:p>
    <w:p w:rsidR="00B20811" w:rsidRDefault="00B20811">
      <w:pPr>
        <w:ind w:left="400"/>
      </w:pPr>
      <w: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B20811" w:rsidRDefault="00B20811">
      <w:pPr>
        <w:pStyle w:val="ThinDelim"/>
      </w:pPr>
    </w:p>
    <w:p w:rsidR="00B20811" w:rsidRDefault="00B20811">
      <w:pPr>
        <w:ind w:left="400"/>
      </w:pPr>
      <w:r>
        <w:t>Стандарты (правила) бухгалтерской отчетности, в соответствии с которыми эмитент произвел расчеты, отраженные в настоящем пункте ежеквартального отчета:</w:t>
      </w:r>
      <w:r>
        <w:br/>
      </w:r>
    </w:p>
    <w:p w:rsidR="00B20811" w:rsidRDefault="00B20811">
      <w:pPr>
        <w:pStyle w:val="2"/>
      </w:pPr>
      <w:r>
        <w:t>4.3.3. Нематериальные активы эмитента</w:t>
      </w:r>
    </w:p>
    <w:p w:rsidR="00B20811" w:rsidRDefault="00B20811">
      <w:pPr>
        <w:pStyle w:val="SubHeading"/>
        <w:ind w:left="200"/>
      </w:pPr>
      <w:r>
        <w:t>На дату окончания отчетного квартала</w:t>
      </w:r>
    </w:p>
    <w:p w:rsidR="00B20811" w:rsidRDefault="00B20811">
      <w:pPr>
        <w:ind w:left="400"/>
      </w:pPr>
      <w:r>
        <w:rPr>
          <w:rStyle w:val="Subst"/>
        </w:rPr>
        <w:t>Нематериальные активы у эмитента отсутствуют</w:t>
      </w:r>
    </w:p>
    <w:p w:rsidR="00B20811" w:rsidRDefault="00B20811">
      <w:pPr>
        <w:pStyle w:val="2"/>
      </w:pPr>
      <w:r>
        <w:t>4.4. Сведения о политике и расходах эмитента в области научно-технического развития, в отношении лицензий и патентов, новых разработок и исследований</w:t>
      </w:r>
    </w:p>
    <w:p w:rsidR="00B20811" w:rsidRDefault="00B20811">
      <w:pPr>
        <w:ind w:left="200"/>
      </w:pPr>
      <w:r>
        <w:rPr>
          <w:rStyle w:val="Subst"/>
        </w:rPr>
        <w:t>Политика  эмитента в области научно-технического развития и затраты на осуществление научно-технической деятельности за счет собственных средств, отсутствуют.</w:t>
      </w:r>
      <w:r>
        <w:rPr>
          <w:rStyle w:val="Subst"/>
        </w:rPr>
        <w:br/>
        <w:t>Эмитент не создавал и не получал правовой охраны основных объектов интеллектуальной собственности.</w:t>
      </w:r>
    </w:p>
    <w:p w:rsidR="00B20811" w:rsidRDefault="00B20811">
      <w:pPr>
        <w:pStyle w:val="2"/>
      </w:pPr>
      <w:r>
        <w:t>4.5. Анализ тенденций развития в сфере основной деятельности эмитента</w:t>
      </w:r>
    </w:p>
    <w:p w:rsidR="00B20811" w:rsidRDefault="00B20811">
      <w:pPr>
        <w:ind w:left="200"/>
      </w:pPr>
    </w:p>
    <w:p w:rsidR="00B20811" w:rsidRDefault="00B20811">
      <w:pPr>
        <w:pStyle w:val="2"/>
      </w:pPr>
      <w:r>
        <w:t>4.5.1. Анализ факторов и условий, влияющих на деятельность эмитента</w:t>
      </w:r>
    </w:p>
    <w:p w:rsidR="00B20811" w:rsidRDefault="00B20811">
      <w:pPr>
        <w:ind w:left="200"/>
      </w:pPr>
      <w:r>
        <w:rPr>
          <w:rStyle w:val="Subst"/>
        </w:rPr>
        <w:t>Факторы и условия, влияющие на деятельность эмитента и результаты такой деятельности:</w:t>
      </w:r>
      <w:r>
        <w:rPr>
          <w:rStyle w:val="Subst"/>
        </w:rPr>
        <w:br/>
        <w:t>- улучшение инвестиционного климата в России;</w:t>
      </w:r>
      <w:r>
        <w:rPr>
          <w:rStyle w:val="Subst"/>
        </w:rPr>
        <w:br/>
        <w:t>- снижение уровня налогообложения юридических и физических лиц;</w:t>
      </w:r>
      <w:r>
        <w:rPr>
          <w:rStyle w:val="Subst"/>
        </w:rPr>
        <w:br/>
        <w:t>- совершенствование российского законодательства в сфере защиты прав и интересов инвесторов;</w:t>
      </w:r>
      <w:r>
        <w:rPr>
          <w:rStyle w:val="Subst"/>
        </w:rPr>
        <w:br/>
        <w:t>- рост национальной экономики.</w:t>
      </w:r>
      <w:r>
        <w:rPr>
          <w:rStyle w:val="Subst"/>
        </w:rPr>
        <w:br/>
        <w:t>Эмитент зарегистрирован в качестве юридического лица 28.06.2007 г. и с момента государственной регистрации до даты утверждения проспекта ценных бумаг не осуществлял хозяйственную деятельность. В связи с этим не представляется возможным дать оценку деятельности Эмитента.</w:t>
      </w:r>
      <w:r>
        <w:rPr>
          <w:rStyle w:val="Subst"/>
        </w:rPr>
        <w:br/>
      </w:r>
      <w:r>
        <w:rPr>
          <w:rStyle w:val="Subst"/>
        </w:rPr>
        <w:lastRenderedPageBreak/>
        <w:br/>
        <w:t xml:space="preserve">Прогноз в отношении продолжительности действия указанных факторов и условий: Эмитент предполагает, что в среднесрочной  перспективе динамика развития российского рынка ценных бумаг будет положительной. В краткосрочной перспективе возможно колебание рыночной конъюнктуры, вызванной нестабильной ситуацией на мировых финансовых рынках. В случае развития неблагоприятных тенденций на российском рынке ценных бумаг Эмитент планирует расширить свои инвестиции в инструменты с фиксированной доходностью. </w:t>
      </w:r>
      <w:r>
        <w:rPr>
          <w:rStyle w:val="Subst"/>
        </w:rPr>
        <w:br/>
      </w:r>
      <w:r>
        <w:rPr>
          <w:rStyle w:val="Subst"/>
        </w:rPr>
        <w:br/>
        <w:t>Действия, предпринимаемые эмитентом, и действия, которые эмитент планирует предпринять в будущем для эффективного использования данных факторов и условий:</w:t>
      </w:r>
      <w:r>
        <w:rPr>
          <w:rStyle w:val="Subst"/>
        </w:rPr>
        <w:br/>
        <w:t>- подробное изучение рыночной конъюнктуры;</w:t>
      </w:r>
      <w:r>
        <w:rPr>
          <w:rStyle w:val="Subst"/>
        </w:rPr>
        <w:br/>
        <w:t>- выбор оптимальной даты начала размещения ценных бумаг, соответствующей наиболее благоприятной ситуации на фондовом рынке;</w:t>
      </w:r>
      <w:r>
        <w:rPr>
          <w:rStyle w:val="Subst"/>
        </w:rPr>
        <w:br/>
        <w:t>- определение ставки доходности, соответствующей интересам эмитента и ожиданиям рынка.</w:t>
      </w:r>
      <w:r>
        <w:rPr>
          <w:rStyle w:val="Subst"/>
        </w:rPr>
        <w:br/>
      </w:r>
      <w:r>
        <w:rPr>
          <w:rStyle w:val="Subst"/>
        </w:rPr>
        <w:br/>
        <w:t>Способы, применяемые эмитентом, и способы, которые эмитент планирует использовать в будущем для снижения негативного эффекта факторов и условий, влияющих на деятельность эмитента: Подробное изучение рыночной конъюнктуры, с целью определения даты начала размещения и оптимальных ставок доходности, соответствующих интересам эмитента и ожиданиям рынка.</w:t>
      </w:r>
      <w:r>
        <w:rPr>
          <w:rStyle w:val="Subst"/>
        </w:rPr>
        <w:br/>
      </w:r>
      <w:r>
        <w:rPr>
          <w:rStyle w:val="Subst"/>
        </w:rPr>
        <w:br/>
        <w:t>Существенные события/факторы, которые могут в наибольшей степени негативно повлиять на возможность получения эмитентом в будущем таких же или более высоких результатов, по сравнению с результатами, полученными за последний отчетный периода, а также вероятность наступления таких событий (возникновения факторов):  Резкое ухудшение конъюнктуры российского фондового рынка, а также ухудшение финансового положения Эмитента облигационного займа. Вероятность наступления таких событий, по мнению Эмитента, незначительна.</w:t>
      </w:r>
      <w:r>
        <w:rPr>
          <w:rStyle w:val="Subst"/>
        </w:rPr>
        <w:br/>
      </w:r>
      <w:r>
        <w:rPr>
          <w:rStyle w:val="Subst"/>
        </w:rPr>
        <w:br/>
        <w:t xml:space="preserve">Существенные события/факторы, которые могут улучшить результаты деятельности эмитента, и вероятность их наступления, а также продолжительность их действия: К существенным факторам, которые в наибольшей степени улучшают результаты деятельности Эмитента можно отнести улучшение конъюнктуры российского фондового рынка (рост спроса на долговые финансовые инструменты, снижение ставок доходности). Вероятность их наступления оценивается как высокая. </w:t>
      </w:r>
      <w:r>
        <w:rPr>
          <w:rStyle w:val="Subst"/>
        </w:rPr>
        <w:br/>
        <w:t xml:space="preserve">Продолжительность действия вышеуказанных факторов зависит от макроэкономических процессов в российской и мировой экономике. В связи с этим, в данный момент невозможно спрогнозировать их возможную продолжительность. </w:t>
      </w:r>
      <w:r>
        <w:rPr>
          <w:rStyle w:val="Subst"/>
        </w:rPr>
        <w:br/>
      </w:r>
      <w:r>
        <w:rPr>
          <w:rStyle w:val="Subst"/>
        </w:rPr>
        <w:br/>
        <w:t>Указанная информация представлена в соответствии с мнением органа управления Эмитента.</w:t>
      </w:r>
    </w:p>
    <w:p w:rsidR="00B20811" w:rsidRDefault="00B20811">
      <w:pPr>
        <w:pStyle w:val="2"/>
      </w:pPr>
      <w:r>
        <w:t>4.5.2. Конкуренты эмитента</w:t>
      </w:r>
    </w:p>
    <w:p w:rsidR="00B20811" w:rsidRDefault="00B20811">
      <w:pPr>
        <w:ind w:left="200"/>
      </w:pPr>
      <w:r>
        <w:rPr>
          <w:rStyle w:val="Subst"/>
        </w:rPr>
        <w:t xml:space="preserve">Основные существующие и предполагаемые конкуренты эмитента по основным видам деятельности, включая конкурентов за рубежом: Основной деятельностью Эмитента является привлечение инвестиций в промышленность (добыча урановых руд), путем предоставления займов Закрытому акционерному обществу «Далур», предоставившему обеспечение для выпуска Облигаций (Поручитель). </w:t>
      </w:r>
      <w:r>
        <w:rPr>
          <w:rStyle w:val="Subst"/>
        </w:rPr>
        <w:br/>
        <w:t>Существующие и предполагаемые конкуренты у Эмитента отсутствуют.</w:t>
      </w:r>
      <w:r>
        <w:rPr>
          <w:rStyle w:val="Subst"/>
        </w:rPr>
        <w:br/>
      </w:r>
      <w:r>
        <w:rPr>
          <w:rStyle w:val="Subst"/>
        </w:rPr>
        <w:br/>
        <w:t>Перечень факторов конкурентоспособности эмитента с описанием степени их влияния на конкурентоспособность производимой продукции (работ, услуг): Политика долгового финансирования Закрытого акционерного общества «Далур» (Поручитель) определяется деятельностью и потребностью непосредственно самого Поручителя, предоставившего обеспечение по облигационному займу.</w:t>
      </w:r>
    </w:p>
    <w:p w:rsidR="00B20811" w:rsidRDefault="00B20811">
      <w:pPr>
        <w:pStyle w:val="1"/>
      </w:pPr>
      <w: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p>
    <w:p w:rsidR="00B20811" w:rsidRDefault="00B20811">
      <w:pPr>
        <w:pStyle w:val="2"/>
      </w:pPr>
      <w:r>
        <w:lastRenderedPageBreak/>
        <w:t>5.1. Сведения о структуре и компетенции органов управления эмитента</w:t>
      </w:r>
    </w:p>
    <w:p w:rsidR="00B20811" w:rsidRDefault="00B20811">
      <w:pPr>
        <w:ind w:left="200"/>
      </w:pPr>
      <w:r>
        <w:t>Полное описание структуры органов управления эмитента и их компетенции в соответствии с уставом (учредительными документами) эмитента:</w:t>
      </w:r>
      <w:r>
        <w:br/>
      </w:r>
      <w:r>
        <w:rPr>
          <w:rStyle w:val="Subst"/>
        </w:rPr>
        <w:t>Органами управления эмитента (далее – Общество), в соответствии с его Уставом, являются:</w:t>
      </w:r>
      <w:r>
        <w:rPr>
          <w:rStyle w:val="Subst"/>
        </w:rPr>
        <w:br/>
        <w:t>•</w:t>
      </w:r>
      <w:r>
        <w:rPr>
          <w:rStyle w:val="Subst"/>
        </w:rPr>
        <w:tab/>
        <w:t>Общее собрание участников;</w:t>
      </w:r>
      <w:r>
        <w:rPr>
          <w:rStyle w:val="Subst"/>
        </w:rPr>
        <w:br/>
        <w:t>•</w:t>
      </w:r>
      <w:r>
        <w:rPr>
          <w:rStyle w:val="Subst"/>
        </w:rPr>
        <w:tab/>
        <w:t>Генеральный директор.</w:t>
      </w:r>
      <w:r>
        <w:rPr>
          <w:rStyle w:val="Subst"/>
        </w:rPr>
        <w:br/>
        <w:t>Высшим органом управления Обществом является Общее собрание участников.</w:t>
      </w:r>
      <w:r>
        <w:rPr>
          <w:rStyle w:val="Subst"/>
        </w:rPr>
        <w:br/>
      </w:r>
      <w:r>
        <w:rPr>
          <w:rStyle w:val="Subst"/>
        </w:rPr>
        <w:br/>
        <w:t>Компетенция общего собрания участников эмитента в соответствии с его Уставом:</w:t>
      </w:r>
      <w:r>
        <w:rPr>
          <w:rStyle w:val="Subst"/>
        </w:rPr>
        <w:br/>
        <w:t>В соответствии с п. 9.3  ст. 9 Устава эмитента:</w:t>
      </w:r>
      <w:r>
        <w:rPr>
          <w:rStyle w:val="Subst"/>
        </w:rPr>
        <w:br/>
        <w:t>9.3.Компетенция Общего Собрания участников.</w:t>
      </w:r>
      <w:r>
        <w:rPr>
          <w:rStyle w:val="Subst"/>
        </w:rPr>
        <w:br/>
      </w:r>
      <w:r>
        <w:rPr>
          <w:rStyle w:val="Subst"/>
        </w:rPr>
        <w:tab/>
        <w:t>Исключительная компетенция:</w:t>
      </w:r>
      <w:r>
        <w:rPr>
          <w:rStyle w:val="Subst"/>
        </w:rPr>
        <w:br/>
        <w:t>1.</w:t>
      </w:r>
      <w:r>
        <w:rPr>
          <w:rStyle w:val="Subst"/>
        </w:rPr>
        <w:tab/>
        <w:t>Определение основных направлений деятельности Общества, а также принятие решения об участии в ассоциациях и других объединениях коммерческих организаций.</w:t>
      </w:r>
      <w:r>
        <w:rPr>
          <w:rStyle w:val="Subst"/>
        </w:rPr>
        <w:br/>
        <w:t>2.</w:t>
      </w:r>
      <w:r>
        <w:rPr>
          <w:rStyle w:val="Subst"/>
        </w:rPr>
        <w:tab/>
        <w:t>Изменение устава Общества, в том числе изменение размера уставного капитала Общества.</w:t>
      </w:r>
      <w:r>
        <w:rPr>
          <w:rStyle w:val="Subst"/>
        </w:rPr>
        <w:br/>
        <w:t>3.</w:t>
      </w:r>
      <w:r>
        <w:rPr>
          <w:rStyle w:val="Subst"/>
        </w:rPr>
        <w:tab/>
        <w:t>Внесение изменений в учредительный договор.</w:t>
      </w:r>
      <w:r>
        <w:rPr>
          <w:rStyle w:val="Subst"/>
        </w:rPr>
        <w:br/>
        <w:t>4.</w:t>
      </w:r>
      <w:r>
        <w:rPr>
          <w:rStyle w:val="Subst"/>
        </w:rPr>
        <w:tab/>
        <w:t>Образование исполнительных органов Общества и досрочное прекращение их полномочий, а также принятие решения о передаче полномочий единоличного исполнительного органа коммерческой организации или индивидуальному предпринимателю (управляющему), утверждение такого управляющего и условий договора с ним.</w:t>
      </w:r>
      <w:r>
        <w:rPr>
          <w:rStyle w:val="Subst"/>
        </w:rPr>
        <w:br/>
        <w:t>5.</w:t>
      </w:r>
      <w:r>
        <w:rPr>
          <w:rStyle w:val="Subst"/>
        </w:rPr>
        <w:tab/>
        <w:t>Избрание и досрочное прекращение ревизионной комиссии (ревизора) Общества.</w:t>
      </w:r>
      <w:r>
        <w:rPr>
          <w:rStyle w:val="Subst"/>
        </w:rPr>
        <w:br/>
        <w:t>6.</w:t>
      </w:r>
      <w:r>
        <w:rPr>
          <w:rStyle w:val="Subst"/>
        </w:rPr>
        <w:tab/>
        <w:t>Утверждение годовых отчетов и годовых бухгалтерских балансов.</w:t>
      </w:r>
      <w:r>
        <w:rPr>
          <w:rStyle w:val="Subst"/>
        </w:rPr>
        <w:br/>
        <w:t>7.</w:t>
      </w:r>
      <w:r>
        <w:rPr>
          <w:rStyle w:val="Subst"/>
        </w:rPr>
        <w:tab/>
        <w:t>Принятие решения о распределении чистой прибыли Общества между участниками Общества.</w:t>
      </w:r>
      <w:r>
        <w:rPr>
          <w:rStyle w:val="Subst"/>
        </w:rPr>
        <w:br/>
        <w:t>8.</w:t>
      </w:r>
      <w:r>
        <w:rPr>
          <w:rStyle w:val="Subst"/>
        </w:rPr>
        <w:tab/>
        <w:t>Утверждение (принятие) документов, регулирующих внутреннюю деятельность Общества (внутренние документы Общества).</w:t>
      </w:r>
      <w:r>
        <w:rPr>
          <w:rStyle w:val="Subst"/>
        </w:rPr>
        <w:br/>
        <w:t>9.</w:t>
      </w:r>
      <w:r>
        <w:rPr>
          <w:rStyle w:val="Subst"/>
        </w:rPr>
        <w:tab/>
        <w:t>Принятие решения о размещении Обществом облигаций и иных эмиссионных ценных бумаг.</w:t>
      </w:r>
      <w:r>
        <w:rPr>
          <w:rStyle w:val="Subst"/>
        </w:rPr>
        <w:br/>
        <w:t>10.</w:t>
      </w:r>
      <w:r>
        <w:rPr>
          <w:rStyle w:val="Subst"/>
        </w:rPr>
        <w:tab/>
        <w:t>Назначение аудиторской проверки, утверждение аудитора и определение размера оплаты его услуг.</w:t>
      </w:r>
      <w:r>
        <w:rPr>
          <w:rStyle w:val="Subst"/>
        </w:rPr>
        <w:br/>
        <w:t>11.</w:t>
      </w:r>
      <w:r>
        <w:rPr>
          <w:rStyle w:val="Subst"/>
        </w:rPr>
        <w:tab/>
        <w:t>Принятие решения о реорганизации и ликвидации Общества.</w:t>
      </w:r>
      <w:r>
        <w:rPr>
          <w:rStyle w:val="Subst"/>
        </w:rPr>
        <w:br/>
        <w:t>12.</w:t>
      </w:r>
      <w:r>
        <w:rPr>
          <w:rStyle w:val="Subst"/>
        </w:rPr>
        <w:tab/>
        <w:t>Назначение ликвидационной комиссии и утверждение ликвидационных балансов.</w:t>
      </w:r>
      <w:r>
        <w:rPr>
          <w:rStyle w:val="Subst"/>
        </w:rPr>
        <w:br/>
        <w:t>13.</w:t>
      </w:r>
      <w:r>
        <w:rPr>
          <w:rStyle w:val="Subst"/>
        </w:rPr>
        <w:tab/>
        <w:t>Принятие решения об открытии филиалов и представительств Общества.</w:t>
      </w:r>
      <w:r>
        <w:rPr>
          <w:rStyle w:val="Subst"/>
        </w:rPr>
        <w:br/>
        <w:t>14.</w:t>
      </w:r>
      <w:r>
        <w:rPr>
          <w:rStyle w:val="Subst"/>
        </w:rPr>
        <w:tab/>
        <w:t>Предоставление, а также ограничение или прекращение дополнительных прав участников.</w:t>
      </w:r>
      <w:r>
        <w:rPr>
          <w:rStyle w:val="Subst"/>
        </w:rPr>
        <w:br/>
        <w:t>15.</w:t>
      </w:r>
      <w:r>
        <w:rPr>
          <w:rStyle w:val="Subst"/>
        </w:rPr>
        <w:tab/>
        <w:t>Предоставление, а также ограничение или прекращение дополнительных обязанностей участников.</w:t>
      </w:r>
      <w:r>
        <w:rPr>
          <w:rStyle w:val="Subst"/>
        </w:rPr>
        <w:br/>
        <w:t>16.</w:t>
      </w:r>
      <w:r>
        <w:rPr>
          <w:rStyle w:val="Subst"/>
        </w:rPr>
        <w:tab/>
        <w:t>Принятие решения об ограничении максимального размера доли участника Общества.</w:t>
      </w:r>
      <w:r>
        <w:rPr>
          <w:rStyle w:val="Subst"/>
        </w:rPr>
        <w:br/>
        <w:t>17.</w:t>
      </w:r>
      <w:r>
        <w:rPr>
          <w:rStyle w:val="Subst"/>
        </w:rPr>
        <w:tab/>
        <w:t>Принятие решения об ограничении возможности изменения соотношения долей участников в уставном капитале Общества.</w:t>
      </w:r>
      <w:r>
        <w:rPr>
          <w:rStyle w:val="Subst"/>
        </w:rPr>
        <w:br/>
        <w:t>18.</w:t>
      </w:r>
      <w:r>
        <w:rPr>
          <w:rStyle w:val="Subst"/>
        </w:rPr>
        <w:tab/>
        <w:t>Утверждение денежной оценки неденежных вкладов, вносимых участниками в качестве оплаты своей доли в уставном капитале Общества.</w:t>
      </w:r>
      <w:r>
        <w:rPr>
          <w:rStyle w:val="Subst"/>
        </w:rPr>
        <w:br/>
        <w:t>19.</w:t>
      </w:r>
      <w:r>
        <w:rPr>
          <w:rStyle w:val="Subst"/>
        </w:rPr>
        <w:tab/>
        <w:t>Определение иного порядка предоставления денежной компенсации Обществу, в случае прекращения у Общества права пользования имуществом до истечения срока, на который такое имущество было передано в пользование Обществу в качестве вклада в уставный капитал.</w:t>
      </w:r>
      <w:r>
        <w:rPr>
          <w:rStyle w:val="Subst"/>
        </w:rPr>
        <w:br/>
        <w:t>20.</w:t>
      </w:r>
      <w:r>
        <w:rPr>
          <w:rStyle w:val="Subst"/>
        </w:rPr>
        <w:tab/>
        <w:t>Порядок и способы увеличения уставного капитала Общества денежными средствами без изменения соотношений размеров долей участников Общества в уставном капитале Общества.</w:t>
      </w:r>
      <w:r>
        <w:rPr>
          <w:rStyle w:val="Subst"/>
        </w:rPr>
        <w:br/>
        <w:t>21.</w:t>
      </w:r>
      <w:r>
        <w:rPr>
          <w:rStyle w:val="Subst"/>
        </w:rPr>
        <w:tab/>
        <w:t>Порядок и способы увеличения уставного капитала Общества неденежными средствами без изменения соотношений размеров долей участников Общества в уставном капитале Общества.</w:t>
      </w:r>
      <w:r>
        <w:rPr>
          <w:rStyle w:val="Subst"/>
        </w:rPr>
        <w:br/>
        <w:t>22.</w:t>
      </w:r>
      <w:r>
        <w:rPr>
          <w:rStyle w:val="Subst"/>
        </w:rPr>
        <w:tab/>
        <w:t>Принятие решения об утверждении итогов внесения дополнительных вкладов участников Общества.</w:t>
      </w:r>
      <w:r>
        <w:rPr>
          <w:rStyle w:val="Subst"/>
        </w:rPr>
        <w:br/>
        <w:t>23.</w:t>
      </w:r>
      <w:r>
        <w:rPr>
          <w:rStyle w:val="Subst"/>
        </w:rPr>
        <w:tab/>
        <w:t>Принятие решения об увеличении уставного капитала Общества на основании заявления участника (участников) Общества о внесении дополнительного вклада.</w:t>
      </w:r>
      <w:r>
        <w:rPr>
          <w:rStyle w:val="Subst"/>
        </w:rPr>
        <w:br/>
        <w:t>24.</w:t>
      </w:r>
      <w:r>
        <w:rPr>
          <w:rStyle w:val="Subst"/>
        </w:rPr>
        <w:tab/>
        <w:t>Принятие решения об увеличении уставного капитала Общества на основании заявлений третьих лиц о внесении дополнительного вклада, если прием в Общество указанных лиц прямо не запрещен настоящим уставом.</w:t>
      </w:r>
      <w:r>
        <w:rPr>
          <w:rStyle w:val="Subst"/>
        </w:rPr>
        <w:br/>
        <w:t>25.</w:t>
      </w:r>
      <w:r>
        <w:rPr>
          <w:rStyle w:val="Subst"/>
        </w:rPr>
        <w:tab/>
        <w:t>Принятие решения об осуществлении преимущественного права покупки доли (ее части) участниками Общества по цене и на условиях предложения третьим лицам, если прием и в Общество указанных лиц прямо не запрещен настоящим уставом.</w:t>
      </w:r>
      <w:r>
        <w:rPr>
          <w:rStyle w:val="Subst"/>
        </w:rPr>
        <w:br/>
        <w:t>26.</w:t>
      </w:r>
      <w:r>
        <w:rPr>
          <w:rStyle w:val="Subst"/>
        </w:rPr>
        <w:tab/>
        <w:t>Принятие решения о согласии Общества на залог доли (ее части) участника Общества третьему лицу.</w:t>
      </w:r>
      <w:r>
        <w:rPr>
          <w:rStyle w:val="Subst"/>
        </w:rPr>
        <w:br/>
        <w:t>27.</w:t>
      </w:r>
      <w:r>
        <w:rPr>
          <w:rStyle w:val="Subst"/>
        </w:rPr>
        <w:tab/>
        <w:t xml:space="preserve">Принятие решения о продаже доли, принадлежащей Обществу участникам Общества, в </w:t>
      </w:r>
      <w:r>
        <w:rPr>
          <w:rStyle w:val="Subst"/>
        </w:rPr>
        <w:lastRenderedPageBreak/>
        <w:t>результате которой меняются размеры долей его участников продажа доли третьим лицам, а также внесение связанных с продажей долей изменений в учредительные документы общества.</w:t>
      </w:r>
      <w:r>
        <w:rPr>
          <w:rStyle w:val="Subst"/>
        </w:rPr>
        <w:br/>
        <w:t>28.</w:t>
      </w:r>
      <w:r>
        <w:rPr>
          <w:rStyle w:val="Subst"/>
        </w:rPr>
        <w:tab/>
        <w:t>Утверждение итогов оплаты доли, ранее принадлежавшей обществу, реализованной участникам общества или третьим лицам, если это прямо не запрещено настоящим уставом.</w:t>
      </w:r>
      <w:r>
        <w:rPr>
          <w:rStyle w:val="Subst"/>
        </w:rPr>
        <w:br/>
        <w:t>29.</w:t>
      </w:r>
      <w:r>
        <w:rPr>
          <w:rStyle w:val="Subst"/>
        </w:rPr>
        <w:tab/>
        <w:t>Принятие решения о предоставлении обществу преимущественного права покупки доли (ее части) уступающего ее участника общества, если другие участники не воспользовались своим преимущественным правом покупки.</w:t>
      </w:r>
      <w:r>
        <w:rPr>
          <w:rStyle w:val="Subst"/>
        </w:rPr>
        <w:br/>
        <w:t>30.</w:t>
      </w:r>
      <w:r>
        <w:rPr>
          <w:rStyle w:val="Subst"/>
        </w:rPr>
        <w:tab/>
        <w:t>Принятие решения о выплате всеми участниками Общества действительной стоимости доли участника Общества на которое обращено взыскание кредиторами участника Общества пропорционально их долям, в случае отсутствия у данного участника иного имущества на которое может быть обращено взыскание.</w:t>
      </w:r>
      <w:r>
        <w:rPr>
          <w:rStyle w:val="Subst"/>
        </w:rPr>
        <w:br/>
        <w:t>31.</w:t>
      </w:r>
      <w:r>
        <w:rPr>
          <w:rStyle w:val="Subst"/>
        </w:rPr>
        <w:tab/>
        <w:t>Определение иного порядка выплаты всеми участниками Общества действительной стоимости доли участника Общества на которое обращено взыскание кредиторами участника Общества пропорционально их долям, в случае отсутствия у данного участника иного имущества на которое может быть обращено взыскание.</w:t>
      </w:r>
      <w:r>
        <w:rPr>
          <w:rStyle w:val="Subst"/>
        </w:rPr>
        <w:br/>
        <w:t>32.</w:t>
      </w:r>
      <w:r>
        <w:rPr>
          <w:rStyle w:val="Subst"/>
        </w:rPr>
        <w:tab/>
        <w:t>Определение иного порядка внесения участниками Общества вкладов в имущество Общества.</w:t>
      </w:r>
      <w:r>
        <w:rPr>
          <w:rStyle w:val="Subst"/>
        </w:rPr>
        <w:br/>
        <w:t>33.</w:t>
      </w:r>
      <w:r>
        <w:rPr>
          <w:rStyle w:val="Subst"/>
        </w:rPr>
        <w:tab/>
        <w:t>Принятие решения о внесении участниками Общества вкладов в имущество Общества без изменения соотношения размеров их долей в уставном капитале Общества.</w:t>
      </w:r>
      <w:r>
        <w:rPr>
          <w:rStyle w:val="Subst"/>
        </w:rPr>
        <w:br/>
        <w:t>34.</w:t>
      </w:r>
      <w:r>
        <w:rPr>
          <w:rStyle w:val="Subst"/>
        </w:rPr>
        <w:tab/>
        <w:t>Принятие решения о максимально возможной стоимости вклада в имущество Общества и иных, связанных с этим ограничений.</w:t>
      </w:r>
      <w:r>
        <w:rPr>
          <w:rStyle w:val="Subst"/>
        </w:rPr>
        <w:br/>
        <w:t>35.</w:t>
      </w:r>
      <w:r>
        <w:rPr>
          <w:rStyle w:val="Subst"/>
        </w:rPr>
        <w:tab/>
        <w:t>Внесение в устав (исключение из устава) Общества изменений, регламентирующих максимально возможную стоимость вклада в имущество Общества и иных, связанных с этим ограничений.</w:t>
      </w:r>
      <w:r>
        <w:rPr>
          <w:rStyle w:val="Subst"/>
        </w:rPr>
        <w:br/>
        <w:t>36.</w:t>
      </w:r>
      <w:r>
        <w:rPr>
          <w:rStyle w:val="Subst"/>
        </w:rPr>
        <w:tab/>
        <w:t>Принятие решения о максимально возможной стоимости вклада в имущество Общества одним участником Общества и иных, связанных с этим ограничений.</w:t>
      </w:r>
      <w:r>
        <w:rPr>
          <w:rStyle w:val="Subst"/>
        </w:rPr>
        <w:br/>
        <w:t>37.</w:t>
      </w:r>
      <w:r>
        <w:rPr>
          <w:rStyle w:val="Subst"/>
        </w:rPr>
        <w:tab/>
        <w:t>Внесение в устав (исключение из устава) Общества изменений, регламентирующих максимально возможную стоимость вклада в имущество Общества  одним участником Общества и иных, связанных с этим ограничений.</w:t>
      </w:r>
      <w:r>
        <w:rPr>
          <w:rStyle w:val="Subst"/>
        </w:rPr>
        <w:br/>
        <w:t>38.</w:t>
      </w:r>
      <w:r>
        <w:rPr>
          <w:rStyle w:val="Subst"/>
        </w:rPr>
        <w:tab/>
        <w:t>Определение структуры вкладов в имущество Общества.</w:t>
      </w:r>
      <w:r>
        <w:rPr>
          <w:rStyle w:val="Subst"/>
        </w:rPr>
        <w:br/>
        <w:t>39.</w:t>
      </w:r>
      <w:r>
        <w:rPr>
          <w:rStyle w:val="Subst"/>
        </w:rPr>
        <w:tab/>
        <w:t>Определение порядка распределения прибыли между участниками Общества.</w:t>
      </w:r>
      <w:r>
        <w:rPr>
          <w:rStyle w:val="Subst"/>
        </w:rPr>
        <w:br/>
        <w:t>40.</w:t>
      </w:r>
      <w:r>
        <w:rPr>
          <w:rStyle w:val="Subst"/>
        </w:rPr>
        <w:tab/>
        <w:t>Принятие решения о внесении изменения в устав Общества, изменяющего порядок определения количества голосов при голосовании участниками Общества по вопросам, внесенным в повестку дня общим собрания участников.</w:t>
      </w:r>
      <w:r>
        <w:rPr>
          <w:rStyle w:val="Subst"/>
        </w:rPr>
        <w:br/>
        <w:t>41.</w:t>
      </w:r>
      <w:r>
        <w:rPr>
          <w:rStyle w:val="Subst"/>
        </w:rPr>
        <w:tab/>
        <w:t>Принятие решения  о порядке проведения общего собрания участников Общества в части, неурегулированной законодательством.</w:t>
      </w:r>
      <w:r>
        <w:rPr>
          <w:rStyle w:val="Subst"/>
        </w:rPr>
        <w:br/>
        <w:t>42.</w:t>
      </w:r>
      <w:r>
        <w:rPr>
          <w:rStyle w:val="Subst"/>
        </w:rPr>
        <w:tab/>
        <w:t>Принятие решения  о совершении Обществом сделки, в совершении которой имеется заинтересованность членов наблюдательных и исполнительных органов Общества или участника Общества, имеющего совместно с его аффилированными лицами 20 и более % голосов от общего числа голосов участников Общества.</w:t>
      </w:r>
      <w:r>
        <w:rPr>
          <w:rStyle w:val="Subst"/>
        </w:rPr>
        <w:br/>
        <w:t>43.</w:t>
      </w:r>
      <w:r>
        <w:rPr>
          <w:rStyle w:val="Subst"/>
        </w:rPr>
        <w:tab/>
        <w:t>Принятие решения о совершении Обществом крупной сделки, размер которой определен Федеральным законом "Об обществах с ограниченной ответственностью" и настоящим уставом.</w:t>
      </w:r>
      <w:r>
        <w:rPr>
          <w:rStyle w:val="Subst"/>
        </w:rPr>
        <w:br/>
        <w:t>44.</w:t>
      </w:r>
      <w:r>
        <w:rPr>
          <w:rStyle w:val="Subst"/>
        </w:rPr>
        <w:tab/>
        <w:t>Сроки и порядок хранения иных документов, непоименнованных в Федеральном законе "Об обществах с ограниченной ответственностью".</w:t>
      </w:r>
      <w:r>
        <w:rPr>
          <w:rStyle w:val="Subst"/>
        </w:rPr>
        <w:br/>
      </w:r>
      <w:r>
        <w:rPr>
          <w:rStyle w:val="Subst"/>
        </w:rPr>
        <w:tab/>
        <w:t xml:space="preserve">Общая компетенция: </w:t>
      </w:r>
      <w:r>
        <w:rPr>
          <w:rStyle w:val="Subst"/>
        </w:rPr>
        <w:br/>
        <w:t>45.</w:t>
      </w:r>
      <w:r>
        <w:rPr>
          <w:rStyle w:val="Subst"/>
        </w:rPr>
        <w:tab/>
        <w:t>Утверждение положений о филиалах и представительствах Общества.</w:t>
      </w:r>
      <w:r>
        <w:rPr>
          <w:rStyle w:val="Subst"/>
        </w:rPr>
        <w:br/>
        <w:t>46.</w:t>
      </w:r>
      <w:r>
        <w:rPr>
          <w:rStyle w:val="Subst"/>
        </w:rPr>
        <w:tab/>
        <w:t xml:space="preserve">Назначение руководителей филиалов и представительств Общества. </w:t>
      </w:r>
      <w:r>
        <w:rPr>
          <w:rStyle w:val="Subst"/>
        </w:rPr>
        <w:br/>
        <w:t>47.</w:t>
      </w:r>
      <w:r>
        <w:rPr>
          <w:rStyle w:val="Subst"/>
        </w:rPr>
        <w:tab/>
        <w:t>Назначение Генерального директора и прекращение его полномочий.</w:t>
      </w:r>
      <w:r>
        <w:rPr>
          <w:rStyle w:val="Subst"/>
        </w:rPr>
        <w:br/>
        <w:t>48.</w:t>
      </w:r>
      <w:r>
        <w:rPr>
          <w:rStyle w:val="Subst"/>
        </w:rPr>
        <w:tab/>
        <w:t>Принятие решения о выплате Обществом действительной стоимости доли участника, на которую обращено взыскание кредиторов в случае недостаточности его имущества, на которое по действующему законодательству может быть обращено взыскание.</w:t>
      </w:r>
      <w:r>
        <w:rPr>
          <w:rStyle w:val="Subst"/>
        </w:rPr>
        <w:br/>
        <w:t>49.</w:t>
      </w:r>
      <w:r>
        <w:rPr>
          <w:rStyle w:val="Subst"/>
        </w:rPr>
        <w:tab/>
        <w:t>Избрание секретаря общего собрания участников.</w:t>
      </w:r>
      <w:r>
        <w:rPr>
          <w:rStyle w:val="Subst"/>
        </w:rPr>
        <w:br/>
        <w:t>50.</w:t>
      </w:r>
      <w:r>
        <w:rPr>
          <w:rStyle w:val="Subst"/>
        </w:rPr>
        <w:tab/>
        <w:t>Принятие решения о передаче споров Общества с третьими лицами рассмотрение третейскими судами.</w:t>
      </w:r>
      <w:r>
        <w:rPr>
          <w:rStyle w:val="Subst"/>
        </w:rPr>
        <w:br/>
        <w:t>51.</w:t>
      </w:r>
      <w:r>
        <w:rPr>
          <w:rStyle w:val="Subst"/>
        </w:rPr>
        <w:tab/>
        <w:t>Иные вопросы, не отнесенные к компетенции наблюдательных, исполнительных органов Общества и неурегулированные Федеральным Законом "Об обществах с ограниченной ответственностью", другими Федеральными законами и настоящим Уставом, возникающими в процессе финансово-хозяйственной деятельности Общества.</w:t>
      </w:r>
      <w:r>
        <w:rPr>
          <w:rStyle w:val="Subst"/>
        </w:rPr>
        <w:br/>
      </w:r>
      <w:r>
        <w:rPr>
          <w:rStyle w:val="Subst"/>
        </w:rPr>
        <w:br/>
      </w:r>
      <w:r>
        <w:rPr>
          <w:rStyle w:val="Subst"/>
        </w:rPr>
        <w:br/>
        <w:t>Компетенция единоличного исполнительного органа эмитента в соответствии с его Уставом:</w:t>
      </w:r>
      <w:r>
        <w:rPr>
          <w:rStyle w:val="Subst"/>
        </w:rPr>
        <w:br/>
      </w:r>
      <w:r>
        <w:rPr>
          <w:rStyle w:val="Subst"/>
        </w:rPr>
        <w:br/>
      </w:r>
      <w:r>
        <w:rPr>
          <w:rStyle w:val="Subst"/>
        </w:rPr>
        <w:lastRenderedPageBreak/>
        <w:t xml:space="preserve">Генеральный директор – единоличный исполнительный орган Общества (п.8.2 ст.8 Устава Эмитента). </w:t>
      </w:r>
      <w:r>
        <w:rPr>
          <w:rStyle w:val="Subst"/>
        </w:rPr>
        <w:br/>
        <w:t>В соответствии с п. 10.7 ст. 10 Устава эмитента:</w:t>
      </w:r>
      <w:r>
        <w:rPr>
          <w:rStyle w:val="Subst"/>
        </w:rPr>
        <w:br/>
        <w:t>10.7. Генеральный директор:</w:t>
      </w:r>
      <w:r>
        <w:rPr>
          <w:rStyle w:val="Subst"/>
        </w:rPr>
        <w:br/>
        <w:t>- осуществляет оперативное руководство деятельностью Общества в соответствии с решениями общего собрания участников;</w:t>
      </w:r>
      <w:r>
        <w:rPr>
          <w:rStyle w:val="Subst"/>
        </w:rPr>
        <w:br/>
        <w:t>- осуществляет разработку проектов решений, в том числе экономических программ и планов, принимаемых общим  собранием участников;</w:t>
      </w:r>
      <w:r>
        <w:rPr>
          <w:rStyle w:val="Subst"/>
        </w:rPr>
        <w:br/>
        <w:t>- без доверенности действует от имени Общества, представляет его интересы в отношении с третьими лицами, в суде, в арбитражном суде, в иных государственных органах и совершает сделки, за исключением сделок, отнесенных к компетенции общего собрания участников;</w:t>
      </w:r>
      <w:r>
        <w:rPr>
          <w:rStyle w:val="Subst"/>
        </w:rPr>
        <w:br/>
        <w:t>- распоряжается имуществом Общества в пределах, установленных Федеральным законом РФ “Об общества с ограниченной ответственностью”;</w:t>
      </w:r>
      <w:r>
        <w:rPr>
          <w:rStyle w:val="Subst"/>
        </w:rPr>
        <w:br/>
        <w:t>- издает приказы об утверждении штатного расписания, о назначении на должность работников Общества, об их переводе и увольнении, принимает меры поощрения и налагает дисциплинарные взыскания;</w:t>
      </w:r>
      <w:r>
        <w:rPr>
          <w:rStyle w:val="Subst"/>
        </w:rPr>
        <w:br/>
        <w:t>- выдает доверенности на право представительства от имени Общества, в том числе доверенности с правом передоверия;</w:t>
      </w:r>
      <w:r>
        <w:rPr>
          <w:rStyle w:val="Subst"/>
        </w:rPr>
        <w:br/>
        <w:t>- открывает в банках расчетный и иные счета;</w:t>
      </w:r>
      <w:r>
        <w:rPr>
          <w:rStyle w:val="Subst"/>
        </w:rPr>
        <w:br/>
        <w:t>- совершает иные полномочия, связанные с текущим руководством деятельностью Общества во исполнение решений общего собрания участников, а также осуществляет иные полномочия, не отнесенные к компетенции общего собрания участников.</w:t>
      </w:r>
      <w:r>
        <w:rPr>
          <w:rStyle w:val="Subst"/>
        </w:rPr>
        <w:br/>
      </w:r>
      <w:r>
        <w:rPr>
          <w:rStyle w:val="Subst"/>
        </w:rPr>
        <w:br/>
        <w:t>Коллегиальный исполнительный орган Уставом Эмитента не предусмотрен.</w:t>
      </w:r>
      <w:r>
        <w:rPr>
          <w:rStyle w:val="Subst"/>
        </w:rPr>
        <w:br/>
      </w:r>
      <w:r>
        <w:rPr>
          <w:rStyle w:val="Subst"/>
        </w:rPr>
        <w:br/>
        <w:t xml:space="preserve">Кодекс корпоративного поведения (управления) Эмитента или иной аналогичный документ, отсутствует. </w:t>
      </w:r>
      <w:r>
        <w:rPr>
          <w:rStyle w:val="Subst"/>
        </w:rPr>
        <w:br/>
      </w:r>
      <w:r>
        <w:rPr>
          <w:rStyle w:val="Subst"/>
        </w:rPr>
        <w:br/>
        <w:t>Внутренние документы, регулирующие деятельность органов Эмитента, Эмитентом не принимались.</w:t>
      </w:r>
      <w:r>
        <w:rPr>
          <w:rStyle w:val="Subst"/>
        </w:rPr>
        <w:br/>
      </w:r>
    </w:p>
    <w:p w:rsidR="00B20811" w:rsidRDefault="00B20811">
      <w:pPr>
        <w:ind w:left="200"/>
      </w:pPr>
    </w:p>
    <w:p w:rsidR="00B20811" w:rsidRDefault="00B20811">
      <w:pPr>
        <w:ind w:left="200"/>
      </w:pPr>
    </w:p>
    <w:p w:rsidR="00B20811" w:rsidRDefault="00B20811">
      <w:pPr>
        <w:pStyle w:val="ThinDelim"/>
      </w:pPr>
    </w:p>
    <w:p w:rsidR="00B20811" w:rsidRDefault="00B20811">
      <w:pPr>
        <w:ind w:left="200"/>
      </w:pPr>
      <w:r>
        <w:t>Адрес страницы в сети Интернет, на которой в свободном доступе размещен полный текст действующей редакции устава эмитента и внутренних документов, регулирующих деятельность органов эмитента:</w:t>
      </w:r>
      <w:r>
        <w:rPr>
          <w:rStyle w:val="Subst"/>
        </w:rPr>
        <w:t xml:space="preserve"> www.rusfund.ru</w:t>
      </w:r>
    </w:p>
    <w:p w:rsidR="00B20811" w:rsidRDefault="00B20811">
      <w:pPr>
        <w:pStyle w:val="2"/>
      </w:pPr>
      <w:r>
        <w:t>5.2. Информация о лицах, входящих в состав органов управления эмитента</w:t>
      </w:r>
    </w:p>
    <w:p w:rsidR="00B20811" w:rsidRDefault="00B20811">
      <w:pPr>
        <w:pStyle w:val="2"/>
      </w:pPr>
      <w:r>
        <w:t>5.2.1. Состав совета директоров (наблюдательного совета) эмитента</w:t>
      </w:r>
    </w:p>
    <w:p w:rsidR="00B20811" w:rsidRDefault="00B20811">
      <w:pPr>
        <w:ind w:left="200"/>
      </w:pPr>
      <w:r>
        <w:rPr>
          <w:rStyle w:val="Subst"/>
        </w:rPr>
        <w:t>Совет директоров (наблюдательный совет) не предусмотрен Уставом</w:t>
      </w:r>
    </w:p>
    <w:p w:rsidR="00B20811" w:rsidRDefault="00B20811">
      <w:pPr>
        <w:pStyle w:val="2"/>
      </w:pPr>
      <w:r>
        <w:t>5.2.2. Информация о единоличном исполнительном органе эмитента</w:t>
      </w:r>
    </w:p>
    <w:p w:rsidR="00B20811" w:rsidRDefault="00B20811">
      <w:pPr>
        <w:ind w:left="200"/>
      </w:pPr>
    </w:p>
    <w:p w:rsidR="00B20811" w:rsidRDefault="00B20811">
      <w:pPr>
        <w:ind w:left="200"/>
      </w:pPr>
    </w:p>
    <w:p w:rsidR="00B20811" w:rsidRDefault="00B20811">
      <w:pPr>
        <w:ind w:left="200"/>
      </w:pPr>
      <w:r>
        <w:t>ФИО:</w:t>
      </w:r>
      <w:r>
        <w:rPr>
          <w:rStyle w:val="Subst"/>
        </w:rPr>
        <w:t xml:space="preserve"> Семёнов Сергей Александрович</w:t>
      </w:r>
    </w:p>
    <w:p w:rsidR="00B20811" w:rsidRDefault="00B20811">
      <w:pPr>
        <w:ind w:left="200"/>
      </w:pPr>
      <w:r>
        <w:t>Год рождения:</w:t>
      </w:r>
      <w:r>
        <w:rPr>
          <w:rStyle w:val="Subst"/>
        </w:rPr>
        <w:t xml:space="preserve"> 1973</w:t>
      </w:r>
    </w:p>
    <w:p w:rsidR="00B20811" w:rsidRDefault="00B20811">
      <w:pPr>
        <w:pStyle w:val="ThinDelim"/>
      </w:pPr>
    </w:p>
    <w:p w:rsidR="00B20811" w:rsidRDefault="00B20811">
      <w:pPr>
        <w:ind w:left="200"/>
      </w:pPr>
      <w:r>
        <w:t>Образование:</w:t>
      </w:r>
      <w:r>
        <w:br/>
      </w:r>
      <w:r>
        <w:rPr>
          <w:rStyle w:val="Subst"/>
        </w:rPr>
        <w:t>высшее</w:t>
      </w:r>
    </w:p>
    <w:p w:rsidR="00B20811" w:rsidRDefault="00B20811">
      <w:pPr>
        <w:ind w:left="200"/>
      </w:pPr>
      <w:r>
        <w:t>Все должности, занимаемые данным лицом в эмитенте и других организациях за последние 5 лет и в настоящее время, в том числе по совместительству</w:t>
      </w:r>
    </w:p>
    <w:p w:rsidR="00B20811" w:rsidRDefault="00B20811">
      <w:pPr>
        <w:pStyle w:val="ThinDelim"/>
      </w:pPr>
    </w:p>
    <w:tbl>
      <w:tblPr>
        <w:tblW w:w="0" w:type="auto"/>
        <w:tblLayout w:type="fixed"/>
        <w:tblCellMar>
          <w:left w:w="72" w:type="dxa"/>
          <w:right w:w="72" w:type="dxa"/>
        </w:tblCellMar>
        <w:tblLook w:val="0000"/>
      </w:tblPr>
      <w:tblGrid>
        <w:gridCol w:w="1332"/>
        <w:gridCol w:w="1260"/>
        <w:gridCol w:w="3980"/>
        <w:gridCol w:w="2680"/>
      </w:tblGrid>
      <w:tr w:rsidR="00B20811" w:rsidRPr="00C76478">
        <w:tc>
          <w:tcPr>
            <w:tcW w:w="2592" w:type="dxa"/>
            <w:gridSpan w:val="2"/>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Период</w:t>
            </w:r>
          </w:p>
        </w:tc>
        <w:tc>
          <w:tcPr>
            <w:tcW w:w="398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организации</w:t>
            </w:r>
          </w:p>
        </w:tc>
        <w:tc>
          <w:tcPr>
            <w:tcW w:w="2680"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Должность</w:t>
            </w:r>
          </w:p>
        </w:tc>
      </w:tr>
      <w:tr w:rsidR="00B20811" w:rsidRPr="00C76478">
        <w:tc>
          <w:tcPr>
            <w:tcW w:w="13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с</w:t>
            </w:r>
          </w:p>
        </w:tc>
        <w:tc>
          <w:tcPr>
            <w:tcW w:w="12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по</w:t>
            </w:r>
          </w:p>
        </w:tc>
        <w:tc>
          <w:tcPr>
            <w:tcW w:w="39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26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13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2005</w:t>
            </w:r>
          </w:p>
        </w:tc>
        <w:tc>
          <w:tcPr>
            <w:tcW w:w="12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2007</w:t>
            </w:r>
          </w:p>
        </w:tc>
        <w:tc>
          <w:tcPr>
            <w:tcW w:w="39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Закрытое акционерное общество "Далур"</w:t>
            </w:r>
          </w:p>
        </w:tc>
        <w:tc>
          <w:tcPr>
            <w:tcW w:w="26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r w:rsidRPr="00C76478">
              <w:rPr>
                <w:rFonts w:eastAsiaTheme="minorEastAsia"/>
              </w:rPr>
              <w:t>экономист по финансовой работе ЗАО "Далур"</w:t>
            </w:r>
          </w:p>
        </w:tc>
      </w:tr>
      <w:tr w:rsidR="00B20811" w:rsidRPr="00C76478">
        <w:tc>
          <w:tcPr>
            <w:tcW w:w="13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lastRenderedPageBreak/>
              <w:t>2008</w:t>
            </w:r>
          </w:p>
        </w:tc>
        <w:tc>
          <w:tcPr>
            <w:tcW w:w="12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 настоящее время</w:t>
            </w:r>
          </w:p>
        </w:tc>
        <w:tc>
          <w:tcPr>
            <w:tcW w:w="39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Закрытое акционерное общество "Далур"</w:t>
            </w:r>
          </w:p>
        </w:tc>
        <w:tc>
          <w:tcPr>
            <w:tcW w:w="26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r w:rsidRPr="00C76478">
              <w:rPr>
                <w:rFonts w:eastAsiaTheme="minorEastAsia"/>
              </w:rPr>
              <w:t>начальник отдела финансов (казначейства) ЗАО "Далур"</w:t>
            </w:r>
          </w:p>
        </w:tc>
      </w:tr>
      <w:tr w:rsidR="00B20811" w:rsidRPr="00C76478">
        <w:tc>
          <w:tcPr>
            <w:tcW w:w="133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02.07.2010</w:t>
            </w:r>
          </w:p>
        </w:tc>
        <w:tc>
          <w:tcPr>
            <w:tcW w:w="126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по настоящее время</w:t>
            </w:r>
          </w:p>
        </w:tc>
        <w:tc>
          <w:tcPr>
            <w:tcW w:w="39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Общество с ограниченной ответственностью "Далур-Финанс"</w:t>
            </w:r>
          </w:p>
        </w:tc>
        <w:tc>
          <w:tcPr>
            <w:tcW w:w="268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r w:rsidRPr="00C76478">
              <w:rPr>
                <w:rFonts w:eastAsiaTheme="minorEastAsia"/>
              </w:rPr>
              <w:t>генеральный директор ООО "Далур-Финанс", по совместительству</w:t>
            </w:r>
          </w:p>
        </w:tc>
      </w:tr>
    </w:tbl>
    <w:p w:rsidR="00B20811" w:rsidRDefault="00B20811"/>
    <w:p w:rsidR="00B20811" w:rsidRDefault="00B20811">
      <w:pPr>
        <w:pStyle w:val="ThinDelim"/>
      </w:pPr>
    </w:p>
    <w:p w:rsidR="00B20811" w:rsidRDefault="00B20811">
      <w:pPr>
        <w:ind w:left="200"/>
      </w:pPr>
      <w:r>
        <w:rPr>
          <w:rStyle w:val="Subst"/>
        </w:rPr>
        <w:t>Доли участия в уставном капитале эмитента/обыкновенных акций не имеет</w:t>
      </w:r>
    </w:p>
    <w:p w:rsidR="00B20811" w:rsidRDefault="00B20811">
      <w:pPr>
        <w:pStyle w:val="ThinDelim"/>
      </w:pPr>
    </w:p>
    <w:p w:rsidR="00B20811" w:rsidRDefault="00B20811">
      <w:pPr>
        <w:ind w:left="200"/>
      </w:pPr>
      <w:r>
        <w:t>Количества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rStyle w:val="Subst"/>
        </w:rPr>
        <w:t xml:space="preserve"> эмитент не выпускал опционов</w:t>
      </w:r>
    </w:p>
    <w:p w:rsidR="00B20811" w:rsidRDefault="00B20811">
      <w:pPr>
        <w:pStyle w:val="ThinDelim"/>
      </w:pPr>
    </w:p>
    <w:p w:rsidR="00B20811" w:rsidRDefault="00B20811">
      <w:pPr>
        <w:pStyle w:val="SubHeading"/>
        <w:ind w:left="200"/>
      </w:pPr>
      <w:r>
        <w:t>Доли участия лица в уставном (складочном) капитале (паевом фонде) дочерних и зависимых обществ эмитента</w:t>
      </w:r>
    </w:p>
    <w:p w:rsidR="00B20811" w:rsidRDefault="00B20811">
      <w:pPr>
        <w:ind w:left="400"/>
      </w:pPr>
      <w:r>
        <w:rPr>
          <w:rStyle w:val="Subst"/>
        </w:rPr>
        <w:t>Лицо указанных долей не имеет</w:t>
      </w:r>
    </w:p>
    <w:p w:rsidR="00B20811" w:rsidRDefault="00B20811">
      <w:pPr>
        <w:ind w:left="200"/>
      </w:pPr>
      <w:r>
        <w:t>Сведения о характере любых родственных связей с иными лицами, входящими в состав органов управления эмитента и/или органов контроля за финансово-хозяйственной деятельностью эмитента:</w:t>
      </w:r>
      <w:r>
        <w:br/>
      </w:r>
    </w:p>
    <w:p w:rsidR="00B20811" w:rsidRDefault="00B20811">
      <w:pPr>
        <w:ind w:left="400"/>
      </w:pPr>
      <w:r>
        <w:rPr>
          <w:rStyle w:val="Subst"/>
        </w:rPr>
        <w:t>Указанных родственных связей нет</w:t>
      </w:r>
    </w:p>
    <w:p w:rsidR="00B20811" w:rsidRDefault="00B20811">
      <w:pPr>
        <w:ind w:left="200"/>
      </w:pPr>
      <w:r>
        <w:t>Сведения о привлечении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p>
    <w:p w:rsidR="00B20811" w:rsidRDefault="00B20811">
      <w:pPr>
        <w:ind w:left="400"/>
      </w:pPr>
      <w:r>
        <w:rPr>
          <w:rStyle w:val="Subst"/>
        </w:rPr>
        <w:t>Лицо к указанным видам ответственности не привлекалось</w:t>
      </w:r>
    </w:p>
    <w:p w:rsidR="00B20811" w:rsidRDefault="00B20811">
      <w:pPr>
        <w:ind w:left="200"/>
      </w:pPr>
      <w:r>
        <w:t>Сведения о занятии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w:t>
      </w:r>
      <w:r>
        <w:br/>
      </w:r>
    </w:p>
    <w:p w:rsidR="00B20811" w:rsidRDefault="00B20811">
      <w:pPr>
        <w:ind w:left="400"/>
      </w:pPr>
      <w:r>
        <w:rPr>
          <w:rStyle w:val="Subst"/>
        </w:rPr>
        <w:t>Лицо указанных должностей не занимало</w:t>
      </w:r>
    </w:p>
    <w:p w:rsidR="00B20811" w:rsidRDefault="00B20811">
      <w:pPr>
        <w:pStyle w:val="2"/>
      </w:pPr>
      <w:r>
        <w:t>5.2.3. Состав коллегиального исполнительного органа эмитента</w:t>
      </w:r>
    </w:p>
    <w:p w:rsidR="00B20811" w:rsidRDefault="00B20811">
      <w:pPr>
        <w:ind w:left="200"/>
      </w:pPr>
      <w:r>
        <w:rPr>
          <w:rStyle w:val="Subst"/>
        </w:rPr>
        <w:t>Коллегиальный исполнительный орган не предусмотрен</w:t>
      </w:r>
    </w:p>
    <w:p w:rsidR="00B20811" w:rsidRDefault="00B20811">
      <w:pPr>
        <w:pStyle w:val="2"/>
      </w:pPr>
      <w:r>
        <w:t>5.3. Сведения о размере вознаграждения, льгот и/или компенсации расходов по каждому органу управления эмитента</w:t>
      </w:r>
    </w:p>
    <w:p w:rsidR="00B20811" w:rsidRDefault="00B20811">
      <w:pPr>
        <w:ind w:left="200"/>
      </w:pPr>
      <w:r>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льготы и (или) компенсации расходов, а также иные имущественные представления, которые были выплачены эмитентом за последний завершенный финансовый год:</w:t>
      </w:r>
    </w:p>
    <w:p w:rsidR="00B20811" w:rsidRDefault="00B20811">
      <w:pPr>
        <w:ind w:left="200"/>
      </w:pPr>
      <w:r>
        <w:t>Единица измерения:</w:t>
      </w:r>
      <w:r>
        <w:rPr>
          <w:rStyle w:val="Subst"/>
        </w:rPr>
        <w:t xml:space="preserve"> руб.</w:t>
      </w:r>
    </w:p>
    <w:p w:rsidR="00B20811" w:rsidRDefault="00B20811">
      <w:pPr>
        <w:pStyle w:val="2"/>
      </w:pPr>
      <w:r>
        <w:t>5.4. Сведения о структуре и компетенции органов контроля за финансово-хозяйственной деятельностью эмитента</w:t>
      </w:r>
    </w:p>
    <w:p w:rsidR="00B20811" w:rsidRDefault="00B20811">
      <w:pPr>
        <w:ind w:left="200"/>
      </w:pPr>
      <w:r>
        <w:rPr>
          <w:rStyle w:val="Subst"/>
        </w:rPr>
        <w:t>Наличие органов контроля за финансово-хозяйственной деятельностью эмитента Уставом не предусмотрено</w:t>
      </w:r>
    </w:p>
    <w:p w:rsidR="00B20811" w:rsidRDefault="00B20811">
      <w:pPr>
        <w:pStyle w:val="2"/>
      </w:pPr>
      <w:r>
        <w:t>5.5. Информация о лицах, входящих в состав органов контроля за финансово-хозяйственной деятельностью эмитента</w:t>
      </w:r>
    </w:p>
    <w:p w:rsidR="00B20811" w:rsidRDefault="00B20811">
      <w:pPr>
        <w:ind w:left="200"/>
      </w:pPr>
      <w:r>
        <w:rPr>
          <w:rStyle w:val="Subst"/>
        </w:rPr>
        <w:t>Наличие органов контроля за финансово-хозяйственной деятельностью эмитента Уставом не предусмотрено</w:t>
      </w:r>
    </w:p>
    <w:p w:rsidR="00B20811" w:rsidRDefault="00B20811">
      <w:pPr>
        <w:pStyle w:val="2"/>
      </w:pPr>
      <w:r>
        <w:t xml:space="preserve">5.6. Сведения о размере вознаграждения, льгот и/или компенсации расходов по органу </w:t>
      </w:r>
      <w:r>
        <w:lastRenderedPageBreak/>
        <w:t>контроля за финансово-хозяйственной деятельностью эмитента</w:t>
      </w:r>
    </w:p>
    <w:p w:rsidR="00B20811" w:rsidRDefault="00B20811">
      <w:pPr>
        <w:ind w:left="200"/>
      </w:pPr>
      <w:r>
        <w:rPr>
          <w:rStyle w:val="Subst"/>
        </w:rPr>
        <w:t>Наличие органов контроля за финансово-хозяйственной деятельностью эмитента Уставом не предусмотрено</w:t>
      </w:r>
    </w:p>
    <w:p w:rsidR="00B20811" w:rsidRDefault="00B20811">
      <w:pPr>
        <w:pStyle w:val="2"/>
      </w:pPr>
      <w:r>
        <w:t>5.7.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p>
    <w:p w:rsidR="00B20811" w:rsidRDefault="00B20811">
      <w:pPr>
        <w:ind w:left="200"/>
      </w:pPr>
      <w:r>
        <w:t>Единица измерения:</w:t>
      </w:r>
      <w:r>
        <w:rPr>
          <w:rStyle w:val="Subst"/>
        </w:rPr>
        <w:t xml:space="preserve"> тыс. руб.</w:t>
      </w:r>
    </w:p>
    <w:p w:rsidR="00B20811" w:rsidRDefault="00B20811">
      <w:pPr>
        <w:pStyle w:val="ThinDelim"/>
      </w:pPr>
    </w:p>
    <w:tbl>
      <w:tblPr>
        <w:tblW w:w="9286" w:type="dxa"/>
        <w:tblLayout w:type="fixed"/>
        <w:tblCellMar>
          <w:left w:w="72" w:type="dxa"/>
          <w:right w:w="72" w:type="dxa"/>
        </w:tblCellMar>
        <w:tblLook w:val="0000"/>
      </w:tblPr>
      <w:tblGrid>
        <w:gridCol w:w="8152"/>
        <w:gridCol w:w="1134"/>
      </w:tblGrid>
      <w:tr w:rsidR="00B20811" w:rsidRPr="00C76478" w:rsidTr="00BA69B6">
        <w:tc>
          <w:tcPr>
            <w:tcW w:w="815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1134"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2 кв. 2010</w:t>
            </w:r>
          </w:p>
        </w:tc>
      </w:tr>
      <w:tr w:rsidR="00B20811" w:rsidRPr="00C76478" w:rsidTr="00BA69B6">
        <w:tc>
          <w:tcPr>
            <w:tcW w:w="815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Среднесписочная численность работников, чел.</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2</w:t>
            </w:r>
          </w:p>
        </w:tc>
      </w:tr>
      <w:tr w:rsidR="00B20811" w:rsidRPr="00C76478" w:rsidTr="00BA69B6">
        <w:tc>
          <w:tcPr>
            <w:tcW w:w="815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Доля сотрудников эмитента, имеющих высшее профессиональное образование, %</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100</w:t>
            </w:r>
          </w:p>
        </w:tc>
      </w:tr>
      <w:tr w:rsidR="00B20811" w:rsidRPr="00C76478" w:rsidTr="00BA69B6">
        <w:tc>
          <w:tcPr>
            <w:tcW w:w="815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Объем денежных средств, направленных на оплату труда</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103</w:t>
            </w:r>
          </w:p>
        </w:tc>
      </w:tr>
      <w:tr w:rsidR="00B20811" w:rsidRPr="00C76478" w:rsidTr="00BA69B6">
        <w:tc>
          <w:tcPr>
            <w:tcW w:w="815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Объем денежных средств, направленных на социальное обеспечение</w:t>
            </w:r>
          </w:p>
        </w:tc>
        <w:tc>
          <w:tcPr>
            <w:tcW w:w="1134"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27</w:t>
            </w:r>
          </w:p>
        </w:tc>
      </w:tr>
      <w:tr w:rsidR="00B20811" w:rsidRPr="00C76478" w:rsidTr="00BA69B6">
        <w:tc>
          <w:tcPr>
            <w:tcW w:w="815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Общий объем израсходованных денежных средств</w:t>
            </w:r>
          </w:p>
        </w:tc>
        <w:tc>
          <w:tcPr>
            <w:tcW w:w="1134"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130</w:t>
            </w:r>
          </w:p>
        </w:tc>
      </w:tr>
    </w:tbl>
    <w:p w:rsidR="00B20811" w:rsidRDefault="00B20811"/>
    <w:p w:rsidR="00B20811" w:rsidRDefault="00B20811">
      <w:pPr>
        <w:ind w:left="200"/>
      </w:pPr>
      <w:r>
        <w:rPr>
          <w:rStyle w:val="Subst"/>
        </w:rPr>
        <w:t>Сотрудники (работники) эмитента, оказывающие существенное влияние на финансово – хозяйственную деятельность эмитента (ключевые сотрудники):</w:t>
      </w:r>
      <w:r>
        <w:rPr>
          <w:rStyle w:val="Subst"/>
        </w:rPr>
        <w:br/>
        <w:t>Семёнов Сергей Александрович</w:t>
      </w:r>
      <w:r>
        <w:rPr>
          <w:rStyle w:val="Subst"/>
        </w:rPr>
        <w:br/>
        <w:t>год рождения: 1973</w:t>
      </w:r>
      <w:r>
        <w:rPr>
          <w:rStyle w:val="Subst"/>
        </w:rPr>
        <w:br/>
        <w:t>сведения об образовании: высшее</w:t>
      </w:r>
      <w:r>
        <w:rPr>
          <w:rStyle w:val="Subst"/>
        </w:rPr>
        <w:br/>
        <w:t>должность, занимаемая в эмитенте: генеральный директор</w:t>
      </w:r>
      <w:r>
        <w:rPr>
          <w:rStyle w:val="Subst"/>
        </w:rPr>
        <w:tab/>
      </w:r>
      <w:r>
        <w:rPr>
          <w:rStyle w:val="Subst"/>
        </w:rPr>
        <w:br/>
      </w:r>
      <w:r>
        <w:rPr>
          <w:rStyle w:val="Subst"/>
        </w:rPr>
        <w:tab/>
      </w:r>
      <w:r>
        <w:rPr>
          <w:rStyle w:val="Subst"/>
        </w:rPr>
        <w:br/>
        <w:t>Профсоюзный орган сотрудниками (работниками) Эмитента  не создан.</w:t>
      </w:r>
    </w:p>
    <w:p w:rsidR="00B20811" w:rsidRDefault="00B20811">
      <w:pPr>
        <w:pStyle w:val="2"/>
      </w:pPr>
      <w: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p>
    <w:p w:rsidR="00B20811" w:rsidRDefault="00B20811">
      <w:pPr>
        <w:ind w:left="200"/>
      </w:pPr>
      <w:r>
        <w:rPr>
          <w:rStyle w:val="Subst"/>
        </w:rPr>
        <w:t>Эмитент не имеет обязательств перед сотрудниками (работниками), касающихся возможности их участия в уставном (складочном) капитале эмитента</w:t>
      </w:r>
    </w:p>
    <w:p w:rsidR="00B20811" w:rsidRDefault="00B20811">
      <w:pPr>
        <w:pStyle w:val="1"/>
      </w:pPr>
      <w:r>
        <w:t>VI. Сведения об участниках (акционерах) эмитента и о совершенных эмитентом сделках, в совершении которых имелась заинтересованность</w:t>
      </w:r>
    </w:p>
    <w:p w:rsidR="00B20811" w:rsidRDefault="00B20811">
      <w:pPr>
        <w:pStyle w:val="2"/>
      </w:pPr>
      <w:r>
        <w:t>6.1. Сведения об общем количестве акционеров (участников) эмитента</w:t>
      </w:r>
    </w:p>
    <w:p w:rsidR="00B20811" w:rsidRDefault="00B20811">
      <w:r>
        <w:t>Общее количество участников эмитента на дату окончания отчетного квартала:</w:t>
      </w:r>
      <w:r>
        <w:rPr>
          <w:rStyle w:val="Subst"/>
        </w:rPr>
        <w:t xml:space="preserve"> 1</w:t>
      </w:r>
    </w:p>
    <w:p w:rsidR="00B20811" w:rsidRDefault="00B20811">
      <w:pPr>
        <w:pStyle w:val="2"/>
      </w:pPr>
      <w:r>
        <w:t>6.2.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(складочного) капитала (паевого фонда) или не менее чем 20 процентами их обыкновенных акций</w:t>
      </w:r>
    </w:p>
    <w:p w:rsidR="00B20811" w:rsidRDefault="00B20811">
      <w:pPr>
        <w:ind w:left="200"/>
      </w:pPr>
      <w:r>
        <w:t>Участники (акционеры) эмитента, владеющие не менее чем 5 процентами его уставного (складочного) капитала (паевого фонда) или не менее чем 5 процентами его обыкновенных акций</w:t>
      </w:r>
    </w:p>
    <w:p w:rsidR="00B20811" w:rsidRDefault="00B20811">
      <w:pPr>
        <w:ind w:left="200"/>
      </w:pPr>
    </w:p>
    <w:p w:rsidR="00B20811" w:rsidRDefault="00B20811">
      <w:pPr>
        <w:ind w:left="200"/>
      </w:pPr>
      <w:r>
        <w:t>Полное фирменное наименование:</w:t>
      </w:r>
      <w:r>
        <w:rPr>
          <w:rStyle w:val="Subst"/>
        </w:rPr>
        <w:t xml:space="preserve"> Закрытое акционерное общество «Далур»</w:t>
      </w:r>
    </w:p>
    <w:p w:rsidR="00B20811" w:rsidRDefault="00B20811">
      <w:pPr>
        <w:ind w:left="200"/>
      </w:pPr>
      <w:r>
        <w:t>Сокращенное фирменное наименование:</w:t>
      </w:r>
      <w:r>
        <w:rPr>
          <w:rStyle w:val="Subst"/>
        </w:rPr>
        <w:t xml:space="preserve"> ЗАО «Далур»</w:t>
      </w:r>
    </w:p>
    <w:p w:rsidR="00B20811" w:rsidRDefault="00B20811">
      <w:pPr>
        <w:pStyle w:val="SubHeading"/>
        <w:ind w:left="200"/>
      </w:pPr>
      <w:r>
        <w:t>Место нахождения</w:t>
      </w:r>
    </w:p>
    <w:p w:rsidR="00B20811" w:rsidRDefault="00B20811">
      <w:pPr>
        <w:ind w:left="400"/>
      </w:pPr>
      <w:r>
        <w:rPr>
          <w:rStyle w:val="Subst"/>
        </w:rPr>
        <w:t>641750 Россия, Курганская область, Далматовский район, село Уксянское, Ленина</w:t>
      </w:r>
    </w:p>
    <w:p w:rsidR="00B20811" w:rsidRDefault="00B20811">
      <w:pPr>
        <w:ind w:left="200"/>
      </w:pPr>
      <w:r>
        <w:t>ИНН:</w:t>
      </w:r>
      <w:r>
        <w:rPr>
          <w:rStyle w:val="Subst"/>
        </w:rPr>
        <w:t xml:space="preserve"> 4506004751</w:t>
      </w:r>
    </w:p>
    <w:p w:rsidR="00B20811" w:rsidRDefault="00B20811">
      <w:pPr>
        <w:ind w:left="200"/>
      </w:pPr>
      <w:r>
        <w:t>ОГРН:</w:t>
      </w:r>
      <w:r>
        <w:rPr>
          <w:rStyle w:val="Subst"/>
        </w:rPr>
        <w:t xml:space="preserve"> 1024501452140</w:t>
      </w:r>
    </w:p>
    <w:p w:rsidR="00B20811" w:rsidRDefault="00B20811">
      <w:pPr>
        <w:ind w:left="200"/>
      </w:pPr>
      <w:r>
        <w:lastRenderedPageBreak/>
        <w:t>Доля участия лица в уставном капитале эмитента, %:</w:t>
      </w:r>
      <w:r>
        <w:rPr>
          <w:rStyle w:val="Subst"/>
        </w:rPr>
        <w:t xml:space="preserve"> 100</w:t>
      </w:r>
    </w:p>
    <w:p w:rsidR="00B20811" w:rsidRDefault="00B20811">
      <w:pPr>
        <w:pStyle w:val="SubHeading"/>
        <w:ind w:left="200"/>
      </w:pPr>
      <w:r>
        <w:t>Участники (акционеры) данного лица, владеющие не менее чем 20 процентами его уставного (складочного) капитала (паевого фонда) или не менее чем 20 процентами его обыкновенных акций</w:t>
      </w:r>
    </w:p>
    <w:p w:rsidR="00B20811" w:rsidRDefault="00B20811">
      <w:pPr>
        <w:ind w:left="400"/>
      </w:pPr>
      <w:r>
        <w:t>Полное фирменное наименование:</w:t>
      </w:r>
      <w:r>
        <w:rPr>
          <w:rStyle w:val="Subst"/>
        </w:rPr>
        <w:t xml:space="preserve"> Открытое акционерное общество «Атомредметзолото»</w:t>
      </w:r>
    </w:p>
    <w:p w:rsidR="00B20811" w:rsidRDefault="00B20811">
      <w:pPr>
        <w:ind w:left="400"/>
      </w:pPr>
      <w:r>
        <w:t>Сокращенное фирменное наименование:</w:t>
      </w:r>
      <w:r>
        <w:rPr>
          <w:rStyle w:val="Subst"/>
        </w:rPr>
        <w:t xml:space="preserve"> ОАО «Атомредметзолото»</w:t>
      </w:r>
    </w:p>
    <w:p w:rsidR="00B20811" w:rsidRDefault="00B20811">
      <w:pPr>
        <w:pStyle w:val="SubHeading"/>
        <w:ind w:left="400"/>
      </w:pPr>
      <w:r>
        <w:t>Место нахождения</w:t>
      </w:r>
    </w:p>
    <w:p w:rsidR="00B20811" w:rsidRDefault="00B20811">
      <w:pPr>
        <w:ind w:left="600"/>
      </w:pPr>
      <w:r>
        <w:rPr>
          <w:rStyle w:val="Subst"/>
        </w:rPr>
        <w:t>109004 Россия, г. Москва, Большой Дровяной переулок 22</w:t>
      </w:r>
    </w:p>
    <w:p w:rsidR="00B20811" w:rsidRDefault="00B20811">
      <w:pPr>
        <w:ind w:left="400"/>
      </w:pPr>
      <w:r>
        <w:t>ИНН:</w:t>
      </w:r>
      <w:r>
        <w:rPr>
          <w:rStyle w:val="Subst"/>
        </w:rPr>
        <w:t xml:space="preserve"> 7706016076</w:t>
      </w:r>
    </w:p>
    <w:p w:rsidR="00B20811" w:rsidRDefault="00B20811">
      <w:pPr>
        <w:ind w:left="400"/>
      </w:pPr>
      <w:r>
        <w:t>ОГРН:</w:t>
      </w:r>
      <w:r>
        <w:rPr>
          <w:rStyle w:val="Subst"/>
        </w:rPr>
        <w:t xml:space="preserve"> 1027700043645</w:t>
      </w:r>
    </w:p>
    <w:p w:rsidR="00B20811" w:rsidRDefault="00B20811">
      <w:pPr>
        <w:ind w:left="400"/>
      </w:pPr>
      <w:r>
        <w:t>Доля лица в уставном капитале акционера (участника) эмитента, %:</w:t>
      </w:r>
      <w:r>
        <w:rPr>
          <w:rStyle w:val="Subst"/>
        </w:rPr>
        <w:t xml:space="preserve"> 98.66</w:t>
      </w:r>
    </w:p>
    <w:p w:rsidR="00B20811" w:rsidRDefault="00B20811">
      <w:pPr>
        <w:ind w:left="400"/>
      </w:pPr>
      <w:r>
        <w:t>Доля обыкновенных акций акционера (участника) эмитента, принадлежащих данному лицу, %:</w:t>
      </w:r>
      <w:r>
        <w:rPr>
          <w:rStyle w:val="Subst"/>
        </w:rPr>
        <w:t xml:space="preserve"> 98.66</w:t>
      </w:r>
    </w:p>
    <w:p w:rsidR="00B20811" w:rsidRDefault="00B20811">
      <w:pPr>
        <w:ind w:left="400"/>
      </w:pPr>
      <w:r>
        <w:t>Доля участия лица в уставном капитале эмитента, %:</w:t>
      </w:r>
      <w:r>
        <w:rPr>
          <w:rStyle w:val="Subst"/>
        </w:rPr>
        <w:t xml:space="preserve"> 0</w:t>
      </w:r>
    </w:p>
    <w:p w:rsidR="00B20811" w:rsidRDefault="00B20811">
      <w:pPr>
        <w:ind w:left="400"/>
      </w:pPr>
    </w:p>
    <w:p w:rsidR="00B20811" w:rsidRDefault="00B20811">
      <w:pPr>
        <w:ind w:left="200"/>
      </w:pPr>
    </w:p>
    <w:p w:rsidR="00B20811" w:rsidRDefault="00B20811">
      <w:pPr>
        <w:pStyle w:val="2"/>
      </w:pPr>
      <w:r>
        <w:t>6.3.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p>
    <w:p w:rsidR="00B20811" w:rsidRDefault="00B20811">
      <w:pPr>
        <w:pStyle w:val="SubHeading"/>
        <w:ind w:left="200"/>
      </w:pPr>
      <w:r>
        <w:t>Размер доли уставного (складочного) капитала (паевого фонда) эмитента, находящейся в федеральной собственности, %</w:t>
      </w:r>
    </w:p>
    <w:p w:rsidR="00B20811" w:rsidRDefault="00B20811">
      <w:pPr>
        <w:ind w:left="400"/>
      </w:pPr>
      <w:r>
        <w:rPr>
          <w:rStyle w:val="Subst"/>
        </w:rPr>
        <w:t>Указанной доли нет</w:t>
      </w:r>
    </w:p>
    <w:p w:rsidR="00B20811" w:rsidRDefault="00B20811">
      <w:pPr>
        <w:pStyle w:val="SubHeading"/>
        <w:ind w:left="200"/>
      </w:pPr>
      <w:r>
        <w:t>Размер доли уставного (складочного) капитала (паевого фонда) эмитента, находящейся в собственности субъектов Российской Федерации), %</w:t>
      </w:r>
    </w:p>
    <w:p w:rsidR="00B20811" w:rsidRDefault="00B20811">
      <w:pPr>
        <w:ind w:left="400"/>
      </w:pPr>
      <w:r>
        <w:rPr>
          <w:rStyle w:val="Subst"/>
        </w:rPr>
        <w:t>Указанной доли нет</w:t>
      </w:r>
    </w:p>
    <w:p w:rsidR="00B20811" w:rsidRDefault="00B20811">
      <w:pPr>
        <w:pStyle w:val="SubHeading"/>
        <w:ind w:left="200"/>
      </w:pPr>
      <w:r>
        <w:t>Размер доли уставного (складочного) капитала (паевого фонда) эмитента, находящейся в муниципальной собственности, %</w:t>
      </w:r>
    </w:p>
    <w:p w:rsidR="00B20811" w:rsidRDefault="00B20811">
      <w:pPr>
        <w:ind w:left="400"/>
      </w:pPr>
      <w:r>
        <w:rPr>
          <w:rStyle w:val="Subst"/>
        </w:rPr>
        <w:t>Указанной доли нет</w:t>
      </w:r>
    </w:p>
    <w:p w:rsidR="00B20811" w:rsidRDefault="00B20811">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20811" w:rsidRDefault="00B20811">
      <w:pPr>
        <w:ind w:left="400"/>
      </w:pPr>
      <w:r>
        <w:rPr>
          <w:rStyle w:val="Subst"/>
        </w:rPr>
        <w:t>Указанное право не предусмотрено</w:t>
      </w:r>
    </w:p>
    <w:p w:rsidR="00B20811" w:rsidRDefault="00B20811">
      <w:pPr>
        <w:pStyle w:val="2"/>
      </w:pPr>
      <w:r>
        <w:t>6.4. Сведения об ограничениях на участие в уставном (складочном) капитале (паевом фонде) эмитента</w:t>
      </w:r>
    </w:p>
    <w:p w:rsidR="00B20811" w:rsidRDefault="00B20811">
      <w:pPr>
        <w:ind w:left="200"/>
      </w:pPr>
      <w:r>
        <w:rPr>
          <w:rStyle w:val="Subst"/>
        </w:rPr>
        <w:t>Ограничений на участие в уставном (складочном) капитале эмитента нет</w:t>
      </w:r>
    </w:p>
    <w:p w:rsidR="00B20811" w:rsidRDefault="00B20811">
      <w:pPr>
        <w:pStyle w:val="2"/>
      </w:pPr>
      <w: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p>
    <w:p w:rsidR="00B20811" w:rsidRDefault="00B20811">
      <w:pPr>
        <w:ind w:left="200"/>
      </w:pPr>
      <w:r>
        <w:rPr>
          <w:rStyle w:val="Subst"/>
        </w:rPr>
        <w:t>В течении пяти последних завершенных финансовых лет и всего текущего года общество состояло из одного акционера (участника) , в связи с чем списки лиц, имеющих право на участие в общем собрании акционеров (участников) не составлялись, поскольку все решения принимались единственным акционером (участником) единолично</w:t>
      </w:r>
    </w:p>
    <w:p w:rsidR="00B20811" w:rsidRDefault="00B20811">
      <w:pPr>
        <w:pStyle w:val="2"/>
      </w:pPr>
      <w:r>
        <w:t>6.6. Сведения о совершенных эмитентом сделках, в совершении которых имелась заинтересованность</w:t>
      </w:r>
    </w:p>
    <w:p w:rsidR="00B20811" w:rsidRDefault="00B20811">
      <w:pPr>
        <w:ind w:left="200"/>
      </w:pPr>
      <w:r>
        <w:rPr>
          <w:rStyle w:val="Subst"/>
        </w:rPr>
        <w:t>Указанных сделок не совершалось</w:t>
      </w:r>
    </w:p>
    <w:p w:rsidR="00B20811" w:rsidRDefault="00B20811">
      <w:pPr>
        <w:pStyle w:val="2"/>
      </w:pPr>
      <w:r>
        <w:lastRenderedPageBreak/>
        <w:t>6.7. Сведения о размере дебиторской задолженности</w:t>
      </w:r>
    </w:p>
    <w:p w:rsidR="00B20811" w:rsidRDefault="00B20811">
      <w:pPr>
        <w:pStyle w:val="SubHeading"/>
        <w:ind w:left="200"/>
      </w:pPr>
      <w:r>
        <w:t>На дату окончания отчетного квартала</w:t>
      </w:r>
    </w:p>
    <w:p w:rsidR="00B20811" w:rsidRDefault="00B20811">
      <w:pPr>
        <w:ind w:left="400"/>
      </w:pPr>
      <w:r>
        <w:t>Единица измерения:</w:t>
      </w:r>
      <w:r>
        <w:rPr>
          <w:rStyle w:val="Subst"/>
        </w:rPr>
        <w:t xml:space="preserve"> тыс. руб.</w:t>
      </w:r>
    </w:p>
    <w:p w:rsidR="00B20811" w:rsidRDefault="00B20811">
      <w:pPr>
        <w:pStyle w:val="ThinDelim"/>
      </w:pPr>
    </w:p>
    <w:tbl>
      <w:tblPr>
        <w:tblW w:w="0" w:type="auto"/>
        <w:tblLayout w:type="fixed"/>
        <w:tblCellMar>
          <w:left w:w="72" w:type="dxa"/>
          <w:right w:w="72" w:type="dxa"/>
        </w:tblCellMar>
        <w:tblLook w:val="0000"/>
      </w:tblPr>
      <w:tblGrid>
        <w:gridCol w:w="6492"/>
        <w:gridCol w:w="1360"/>
        <w:gridCol w:w="1400"/>
      </w:tblGrid>
      <w:tr w:rsidR="00B20811" w:rsidRPr="00C76478">
        <w:tc>
          <w:tcPr>
            <w:tcW w:w="649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Вид дебиторской задолженности</w:t>
            </w:r>
          </w:p>
        </w:tc>
        <w:tc>
          <w:tcPr>
            <w:tcW w:w="2760" w:type="dxa"/>
            <w:gridSpan w:val="2"/>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Срок наступления платежа</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До 1 года</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Свыше 1 года</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Дебиторская задолженность покупателей и заказчиков</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Дебиторская задолженность по векселям к получению</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Дебиторская задолженность участников (учредителей) по взносам в уставный капитал</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Дебиторская задолженность по авансам выданным</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39</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Прочая дебиторская задолженность</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7</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просроченная</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r w:rsidR="00B20811" w:rsidRPr="00C76478">
        <w:tc>
          <w:tcPr>
            <w:tcW w:w="64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w:t>
            </w:r>
          </w:p>
        </w:tc>
        <w:tc>
          <w:tcPr>
            <w:tcW w:w="13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7</w:t>
            </w:r>
          </w:p>
        </w:tc>
        <w:tc>
          <w:tcPr>
            <w:tcW w:w="140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39</w:t>
            </w:r>
          </w:p>
        </w:tc>
      </w:tr>
      <w:tr w:rsidR="00B20811" w:rsidRPr="00C76478">
        <w:tc>
          <w:tcPr>
            <w:tcW w:w="64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просроченная</w:t>
            </w:r>
          </w:p>
        </w:tc>
        <w:tc>
          <w:tcPr>
            <w:tcW w:w="1360"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400" w:type="dxa"/>
            <w:tcBorders>
              <w:top w:val="single" w:sz="6" w:space="0" w:color="auto"/>
              <w:left w:val="single" w:sz="6" w:space="0" w:color="auto"/>
              <w:bottom w:val="doub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x</w:t>
            </w:r>
          </w:p>
        </w:tc>
      </w:tr>
    </w:tbl>
    <w:p w:rsidR="00B20811" w:rsidRDefault="00B20811"/>
    <w:p w:rsidR="00B20811" w:rsidRDefault="00B20811">
      <w:pPr>
        <w:pStyle w:val="SubHeading"/>
        <w:ind w:left="400"/>
      </w:pPr>
      <w:r>
        <w:t>Дебиторы, на долю которых приходится не менее 10 процентов от общей суммы дебиторской задолженности за указанный отчетный период</w:t>
      </w:r>
    </w:p>
    <w:p w:rsidR="00B20811" w:rsidRDefault="00B20811">
      <w:pPr>
        <w:ind w:left="600"/>
      </w:pPr>
      <w:r>
        <w:t>Полное фирменное наименование:</w:t>
      </w:r>
      <w:r>
        <w:rPr>
          <w:rStyle w:val="Subst"/>
        </w:rPr>
        <w:t xml:space="preserve"> закрытое акционерное общество "Национальный депозитарный центр"</w:t>
      </w:r>
    </w:p>
    <w:p w:rsidR="00B20811" w:rsidRDefault="00B20811">
      <w:pPr>
        <w:ind w:left="600"/>
      </w:pPr>
      <w:r>
        <w:t>Сокращенное фирменное наименование:</w:t>
      </w:r>
      <w:r>
        <w:rPr>
          <w:rStyle w:val="Subst"/>
        </w:rPr>
        <w:t xml:space="preserve"> ЗАО НДЦ</w:t>
      </w:r>
    </w:p>
    <w:p w:rsidR="00B20811" w:rsidRDefault="00B20811">
      <w:pPr>
        <w:ind w:left="600"/>
      </w:pPr>
      <w:r>
        <w:t>Место нахождения:</w:t>
      </w:r>
      <w:r>
        <w:rPr>
          <w:rStyle w:val="Subst"/>
        </w:rPr>
        <w:t xml:space="preserve"> 125009, г. Москва, Средний Кисловский переулок,</w:t>
      </w:r>
      <w:r w:rsidR="007B24D4">
        <w:rPr>
          <w:rStyle w:val="Subst"/>
        </w:rPr>
        <w:t xml:space="preserve"> </w:t>
      </w:r>
      <w:r>
        <w:rPr>
          <w:rStyle w:val="Subst"/>
        </w:rPr>
        <w:t>д. 1/13, стр. 4.</w:t>
      </w:r>
    </w:p>
    <w:p w:rsidR="00B20811" w:rsidRDefault="00B20811">
      <w:pPr>
        <w:ind w:left="600"/>
      </w:pPr>
      <w:r>
        <w:t>Сумма дебиторской задолженности, руб.:</w:t>
      </w:r>
      <w:r>
        <w:rPr>
          <w:rStyle w:val="Subst"/>
        </w:rPr>
        <w:t xml:space="preserve"> 38 595</w:t>
      </w:r>
    </w:p>
    <w:p w:rsidR="00B20811" w:rsidRDefault="00B20811">
      <w:pPr>
        <w:ind w:left="600"/>
      </w:pPr>
      <w:r>
        <w:t>Размер и условия просроченной дебиторской задолженности (процентная ставка, штрафные санкции, пени):</w:t>
      </w:r>
      <w:r>
        <w:br/>
      </w:r>
      <w:r>
        <w:rPr>
          <w:rStyle w:val="Subst"/>
        </w:rPr>
        <w:t>нет</w:t>
      </w:r>
    </w:p>
    <w:p w:rsidR="00B20811" w:rsidRDefault="00B20811">
      <w:pPr>
        <w:ind w:left="600"/>
      </w:pPr>
      <w:r>
        <w:t>Дебитор является аффилированным лицом эмитента:</w:t>
      </w:r>
      <w:r>
        <w:rPr>
          <w:rStyle w:val="Subst"/>
        </w:rPr>
        <w:t xml:space="preserve"> Нет</w:t>
      </w:r>
    </w:p>
    <w:p w:rsidR="00B20811" w:rsidRDefault="00B20811">
      <w:pPr>
        <w:ind w:left="600"/>
      </w:pPr>
    </w:p>
    <w:p w:rsidR="00B20811" w:rsidRDefault="00B20811">
      <w:pPr>
        <w:ind w:left="400"/>
      </w:pPr>
    </w:p>
    <w:p w:rsidR="00B20811" w:rsidRDefault="00B20811">
      <w:pPr>
        <w:pStyle w:val="1"/>
      </w:pPr>
      <w:r>
        <w:t>VII. Бухгалтерская отчетность эмитента и иная финансовая информация</w:t>
      </w:r>
    </w:p>
    <w:p w:rsidR="00B20811" w:rsidRDefault="00B20811">
      <w:pPr>
        <w:pStyle w:val="2"/>
      </w:pPr>
      <w:r>
        <w:t>7.1. Годовая бухгалтерская отчетность эмитента</w:t>
      </w:r>
    </w:p>
    <w:p w:rsidR="00B20811" w:rsidRDefault="00B20811"/>
    <w:p w:rsidR="00B20811" w:rsidRDefault="00B20811">
      <w:r>
        <w:t>Не указывается в данном отчетном квартале</w:t>
      </w:r>
    </w:p>
    <w:p w:rsidR="00B20811" w:rsidRDefault="00B20811">
      <w:pPr>
        <w:pStyle w:val="2"/>
      </w:pPr>
      <w:r>
        <w:t>7.2. Квартальная бухгалтерская отчетность эмитента за последний завершенный отчетный квартал</w:t>
      </w:r>
    </w:p>
    <w:p w:rsidR="00B20811" w:rsidRDefault="00B20811">
      <w:pPr>
        <w:pStyle w:val="SubHeading"/>
      </w:pPr>
    </w:p>
    <w:p w:rsidR="00B20811" w:rsidRDefault="00B20811">
      <w:pPr>
        <w:pStyle w:val="SubHeading"/>
      </w:pPr>
    </w:p>
    <w:p w:rsidR="00BA69B6" w:rsidRDefault="00BA69B6">
      <w:pPr>
        <w:jc w:val="center"/>
        <w:rPr>
          <w:b/>
          <w:bCs/>
        </w:rPr>
      </w:pPr>
    </w:p>
    <w:p w:rsidR="00BA69B6" w:rsidRDefault="00BA69B6">
      <w:pPr>
        <w:jc w:val="center"/>
        <w:rPr>
          <w:b/>
          <w:bCs/>
        </w:rPr>
      </w:pPr>
    </w:p>
    <w:p w:rsidR="00B20811" w:rsidRDefault="00B20811">
      <w:pPr>
        <w:jc w:val="center"/>
        <w:rPr>
          <w:b/>
          <w:bCs/>
        </w:rPr>
      </w:pPr>
      <w:r>
        <w:rPr>
          <w:b/>
          <w:bCs/>
        </w:rPr>
        <w:lastRenderedPageBreak/>
        <w:t>Бухгалтерский баланс</w:t>
      </w:r>
      <w:r>
        <w:rPr>
          <w:b/>
          <w:bCs/>
        </w:rPr>
        <w:br/>
        <w:t>на 30 июня 2010 г.</w:t>
      </w:r>
    </w:p>
    <w:tbl>
      <w:tblPr>
        <w:tblW w:w="0" w:type="auto"/>
        <w:tblLayout w:type="fixed"/>
        <w:tblCellMar>
          <w:left w:w="72" w:type="dxa"/>
          <w:right w:w="72" w:type="dxa"/>
        </w:tblCellMar>
        <w:tblLook w:val="0000"/>
      </w:tblPr>
      <w:tblGrid>
        <w:gridCol w:w="6112"/>
        <w:gridCol w:w="1560"/>
        <w:gridCol w:w="1580"/>
      </w:tblGrid>
      <w:tr w:rsidR="00B20811" w:rsidRPr="00C76478">
        <w:tc>
          <w:tcPr>
            <w:tcW w:w="6112" w:type="dxa"/>
            <w:tcBorders>
              <w:top w:val="nil"/>
              <w:left w:val="nil"/>
              <w:bottom w:val="nil"/>
              <w:right w:val="nil"/>
            </w:tcBorders>
          </w:tcPr>
          <w:p w:rsidR="00B20811" w:rsidRPr="00C76478" w:rsidRDefault="00B20811">
            <w:pPr>
              <w:rPr>
                <w:rFonts w:eastAsiaTheme="minorEastAsia"/>
              </w:rPr>
            </w:pPr>
          </w:p>
        </w:tc>
        <w:tc>
          <w:tcPr>
            <w:tcW w:w="1560" w:type="dxa"/>
            <w:tcBorders>
              <w:top w:val="nil"/>
              <w:left w:val="nil"/>
              <w:bottom w:val="nil"/>
              <w:right w:val="nil"/>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Коды</w:t>
            </w:r>
          </w:p>
        </w:tc>
      </w:tr>
      <w:tr w:rsidR="00B20811" w:rsidRPr="00C76478">
        <w:tc>
          <w:tcPr>
            <w:tcW w:w="7672" w:type="dxa"/>
            <w:gridSpan w:val="2"/>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Форма № 1 по ОКУД</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0710001</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Дата</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30.06.2010</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Организация:</w:t>
            </w:r>
            <w:r w:rsidRPr="00C76478">
              <w:rPr>
                <w:rFonts w:eastAsiaTheme="minorEastAsia"/>
                <w:b/>
                <w:bCs/>
              </w:rPr>
              <w:t xml:space="preserve"> Общество с ограниченной ответственностью "Далур-Финанс"</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80644303</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r w:rsidRPr="00C76478">
              <w:rPr>
                <w:rFonts w:eastAsiaTheme="minorEastAsia"/>
              </w:rPr>
              <w:t>Идентификационный номер налогоплательщика</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4506008308</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r w:rsidRPr="00C76478">
              <w:rPr>
                <w:rFonts w:eastAsiaTheme="minorEastAsia"/>
              </w:rPr>
              <w:t>Вид деятельности</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ОКВЭД</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67.12.4</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Организационно-правовая форма / форма собственности:</w:t>
            </w:r>
            <w:r w:rsidRPr="00C76478">
              <w:rPr>
                <w:rFonts w:eastAsiaTheme="minorEastAsia"/>
                <w:b/>
                <w:bCs/>
              </w:rPr>
              <w:t xml:space="preserve"> общество с ограниченной ответственностью</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Единица измерения:</w:t>
            </w:r>
            <w:r w:rsidRPr="00C76478">
              <w:rPr>
                <w:rFonts w:eastAsiaTheme="minorEastAsia"/>
                <w:b/>
                <w:bCs/>
              </w:rPr>
              <w:t xml:space="preserve"> тыс. руб.</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384</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Местонахождение (адрес):</w:t>
            </w:r>
            <w:r w:rsidRPr="00C76478">
              <w:rPr>
                <w:rFonts w:eastAsiaTheme="minorEastAsia"/>
                <w:b/>
                <w:bCs/>
              </w:rPr>
              <w:t xml:space="preserve"> 641730 Россия, Курганская обл., г.Далматово,, Рукманиса 27</w:t>
            </w:r>
          </w:p>
        </w:tc>
        <w:tc>
          <w:tcPr>
            <w:tcW w:w="1560" w:type="dxa"/>
            <w:tcBorders>
              <w:top w:val="nil"/>
              <w:left w:val="nil"/>
              <w:bottom w:val="nil"/>
              <w:right w:val="nil"/>
            </w:tcBorders>
          </w:tcPr>
          <w:p w:rsidR="00B20811" w:rsidRPr="00C76478" w:rsidRDefault="00B20811">
            <w:pPr>
              <w:rPr>
                <w:rFonts w:eastAsiaTheme="minorEastAsia"/>
              </w:rPr>
            </w:pPr>
          </w:p>
        </w:tc>
        <w:tc>
          <w:tcPr>
            <w:tcW w:w="1580" w:type="dxa"/>
            <w:tcBorders>
              <w:top w:val="nil"/>
              <w:left w:val="nil"/>
              <w:bottom w:val="nil"/>
              <w:right w:val="nil"/>
            </w:tcBorders>
          </w:tcPr>
          <w:p w:rsidR="00B20811" w:rsidRPr="00C76478" w:rsidRDefault="00B20811">
            <w:pPr>
              <w:rPr>
                <w:rFonts w:eastAsiaTheme="minorEastAsia"/>
              </w:rPr>
            </w:pPr>
          </w:p>
        </w:tc>
      </w:tr>
    </w:tbl>
    <w:p w:rsidR="00B20811" w:rsidRDefault="00B20811">
      <w:pPr>
        <w:pStyle w:val="ThinDelim"/>
      </w:pPr>
    </w:p>
    <w:tbl>
      <w:tblPr>
        <w:tblW w:w="0" w:type="auto"/>
        <w:tblLayout w:type="fixed"/>
        <w:tblCellMar>
          <w:left w:w="72" w:type="dxa"/>
          <w:right w:w="72" w:type="dxa"/>
        </w:tblCellMar>
        <w:tblLook w:val="0000"/>
      </w:tblPr>
      <w:tblGrid>
        <w:gridCol w:w="5392"/>
        <w:gridCol w:w="720"/>
        <w:gridCol w:w="1560"/>
        <w:gridCol w:w="1580"/>
      </w:tblGrid>
      <w:tr w:rsidR="00B20811" w:rsidRPr="00C76478">
        <w:tc>
          <w:tcPr>
            <w:tcW w:w="539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АКТИВ</w:t>
            </w:r>
          </w:p>
        </w:tc>
        <w:tc>
          <w:tcPr>
            <w:tcW w:w="72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 начало отчетного года</w:t>
            </w:r>
          </w:p>
        </w:tc>
        <w:tc>
          <w:tcPr>
            <w:tcW w:w="1580"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На конец отчетного периода</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I.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Нематериальные активы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Основные средства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Незавершенное строительство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130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Доходные вложения в материальные ценности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135</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Долгосрочные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140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долгосрочные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145</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Отложенные налоговые активы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148</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 по разделу I</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190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II.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Запасы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8 041</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6 740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сырье, материалы и другие аналогичные ценности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211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животные на выращивании и откорме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212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затраты в незавершенном производстве (издержках обращения)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213</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готовая продукция и товары для перепродажи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214</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товары отгруженные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215</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расходы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216</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8 041</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6 740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запасы и затраты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217</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Налог на добавленную стоимость по приобретенным ценностям</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Дебиторская задолженность (платежи по которой ожидаются более чем через 12 месяцев после отчетной даты)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230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46</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39</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покупатели и заказчики (62, 76, 82)</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231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Дебиторская задолженность (платежи по которой ожидаются в течение 12 месяцев после отчетной даты)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240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7</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7</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покупатели и заказчики (62, 76, 82)</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241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Краткосрочные финансовые вложения (56,58,82)</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займы, предоставленные организациям на срок менее 12 месяцев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251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lastRenderedPageBreak/>
              <w:t>собственные акции, выкупленные у акционеров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252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краткосрочные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253</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Денежные средства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260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264</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85</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270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 по разделу II</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290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8 358</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6 871</w:t>
            </w:r>
          </w:p>
        </w:tc>
      </w:tr>
      <w:tr w:rsidR="00B20811" w:rsidRPr="00C76478">
        <w:tc>
          <w:tcPr>
            <w:tcW w:w="53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БАЛАНС (сумма строк 190 + 290)</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300</w:t>
            </w:r>
          </w:p>
        </w:tc>
        <w:tc>
          <w:tcPr>
            <w:tcW w:w="1560"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8 358</w:t>
            </w:r>
          </w:p>
        </w:tc>
        <w:tc>
          <w:tcPr>
            <w:tcW w:w="1580"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6 871</w:t>
            </w: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5392"/>
        <w:gridCol w:w="720"/>
        <w:gridCol w:w="1560"/>
        <w:gridCol w:w="1580"/>
      </w:tblGrid>
      <w:tr w:rsidR="00B20811" w:rsidRPr="00C76478">
        <w:tc>
          <w:tcPr>
            <w:tcW w:w="539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ПАССИВ</w:t>
            </w:r>
          </w:p>
        </w:tc>
        <w:tc>
          <w:tcPr>
            <w:tcW w:w="72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 начало отчетного года</w:t>
            </w:r>
          </w:p>
        </w:tc>
        <w:tc>
          <w:tcPr>
            <w:tcW w:w="1580"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На конец отчетного периода</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III. КАПИТАЛ И РЕЗЕРВЫ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Уставный капитал</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250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250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Собственные акции, выкупленные у акционеров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411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Добавочный капитал</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Резервный капитал</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430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резервы, образованные в соответствии с законодательством</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431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резервы, образованные в соответствии с учредительными документами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432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Нераспределенная прибыль (непокрытый убыток)</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470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-5 073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-7 753</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 по разделу III</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490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-4 823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-7 503</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IV. ДОЛГОСРОЧНЫЕ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Займы и кредиты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12 588</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Отложенные налоговые обязательства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515</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долгосрочные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 по разделу IV</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590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V. КРАТКОСРОЧНЫЕ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Займы и кредиты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12 588</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Кредиторская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593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1 786</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поставщики и подрядчики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621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задолженность перед персоналом организации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622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15</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задолженность перед государственными внебюджетными фондами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623</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задолженность по налогам и сборам</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624</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2</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кредиторы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625</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593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1 761</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Задолженность перед участниками (учредителями) по выплате доходов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630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Доходы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640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Резервы предстоящих расходов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краткосрочные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660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 по разделу V</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690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593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14 374</w:t>
            </w:r>
          </w:p>
        </w:tc>
      </w:tr>
      <w:tr w:rsidR="00B20811" w:rsidRPr="00C76478">
        <w:tc>
          <w:tcPr>
            <w:tcW w:w="53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БАЛАНС (сумма строк 490 + 590 + 690)</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700</w:t>
            </w:r>
          </w:p>
        </w:tc>
        <w:tc>
          <w:tcPr>
            <w:tcW w:w="1560"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8 358</w:t>
            </w:r>
          </w:p>
        </w:tc>
        <w:tc>
          <w:tcPr>
            <w:tcW w:w="1580"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6 871</w:t>
            </w: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5392"/>
        <w:gridCol w:w="720"/>
        <w:gridCol w:w="1560"/>
        <w:gridCol w:w="1580"/>
      </w:tblGrid>
      <w:tr w:rsidR="00B20811" w:rsidRPr="00C76478">
        <w:tc>
          <w:tcPr>
            <w:tcW w:w="9252" w:type="dxa"/>
            <w:gridSpan w:val="4"/>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СПРАВКА О НАЛИЧИИ ЦЕННОСТЕЙ, УЧИТЫВАЕМЫХ НА ЗАБАЛАНСОВЫХ СЧЕТАХ</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 начало отчетного года</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На конец отчетного периода</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lastRenderedPageBreak/>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Арендованные основные средства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910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по лизингу</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911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Товарно-материальные ценности, принятые на ответственное хранение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920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Товары, принятые на комиссию</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930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Списанная в убыток задолженность неплатежеспособных дебиторов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940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Обеспечения обязательств и платежей полученные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950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Обеспечения обязательств и платежей выданные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960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Износ жилищного фонда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970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Износ объектов внешнего благоустройства и других аналогичных объектов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980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Нематериальные активы, полученные в пользование</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990</w:t>
            </w:r>
          </w:p>
        </w:tc>
        <w:tc>
          <w:tcPr>
            <w:tcW w:w="1560"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bl>
    <w:p w:rsidR="00B20811" w:rsidRDefault="00B20811"/>
    <w:p w:rsidR="00B20811" w:rsidRDefault="00B20811"/>
    <w:p w:rsidR="00B20811" w:rsidRDefault="00B20811">
      <w:pPr>
        <w:pStyle w:val="SubHeading"/>
      </w:pPr>
      <w:r>
        <w:br w:type="page"/>
      </w:r>
    </w:p>
    <w:p w:rsidR="00B20811" w:rsidRDefault="00B20811">
      <w:pPr>
        <w:jc w:val="center"/>
        <w:rPr>
          <w:b/>
          <w:bCs/>
        </w:rPr>
      </w:pPr>
      <w:r>
        <w:rPr>
          <w:b/>
          <w:bCs/>
        </w:rPr>
        <w:t>Отчет о прибылях и убытках</w:t>
      </w:r>
      <w:r>
        <w:rPr>
          <w:b/>
          <w:bCs/>
        </w:rPr>
        <w:br/>
        <w:t>за 6 мес. 2010г.</w:t>
      </w:r>
    </w:p>
    <w:tbl>
      <w:tblPr>
        <w:tblW w:w="0" w:type="auto"/>
        <w:tblLayout w:type="fixed"/>
        <w:tblCellMar>
          <w:left w:w="72" w:type="dxa"/>
          <w:right w:w="72" w:type="dxa"/>
        </w:tblCellMar>
        <w:tblLook w:val="0000"/>
      </w:tblPr>
      <w:tblGrid>
        <w:gridCol w:w="6112"/>
        <w:gridCol w:w="1560"/>
        <w:gridCol w:w="1580"/>
      </w:tblGrid>
      <w:tr w:rsidR="00B20811" w:rsidRPr="00C76478">
        <w:tc>
          <w:tcPr>
            <w:tcW w:w="6112" w:type="dxa"/>
            <w:tcBorders>
              <w:top w:val="nil"/>
              <w:left w:val="nil"/>
              <w:bottom w:val="nil"/>
              <w:right w:val="nil"/>
            </w:tcBorders>
          </w:tcPr>
          <w:p w:rsidR="00B20811" w:rsidRPr="00C76478" w:rsidRDefault="00B20811">
            <w:pPr>
              <w:rPr>
                <w:rFonts w:eastAsiaTheme="minorEastAsia"/>
              </w:rPr>
            </w:pPr>
          </w:p>
        </w:tc>
        <w:tc>
          <w:tcPr>
            <w:tcW w:w="1560" w:type="dxa"/>
            <w:tcBorders>
              <w:top w:val="nil"/>
              <w:left w:val="nil"/>
              <w:bottom w:val="nil"/>
              <w:right w:val="nil"/>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Коды</w:t>
            </w:r>
          </w:p>
        </w:tc>
      </w:tr>
      <w:tr w:rsidR="00B20811" w:rsidRPr="00C76478">
        <w:tc>
          <w:tcPr>
            <w:tcW w:w="7672" w:type="dxa"/>
            <w:gridSpan w:val="2"/>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Форма № 2 по ОКУД</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0710002</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Дата</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30.06.2010</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Организация:</w:t>
            </w:r>
            <w:r w:rsidRPr="00C76478">
              <w:rPr>
                <w:rFonts w:eastAsiaTheme="minorEastAsia"/>
                <w:b/>
                <w:bCs/>
              </w:rPr>
              <w:t xml:space="preserve"> Общество с ограниченной ответственностью "Далур-Финанс"</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80644303</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r w:rsidRPr="00C76478">
              <w:rPr>
                <w:rFonts w:eastAsiaTheme="minorEastAsia"/>
              </w:rPr>
              <w:t>Идентификационный номер налогоплательщика</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4506008308</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r w:rsidRPr="00C76478">
              <w:rPr>
                <w:rFonts w:eastAsiaTheme="minorEastAsia"/>
              </w:rPr>
              <w:t>Вид деятельности</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ОКВЭД</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67.12.4</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Организационно-правовая форма / форма собственности:</w:t>
            </w:r>
            <w:r w:rsidRPr="00C76478">
              <w:rPr>
                <w:rFonts w:eastAsiaTheme="minorEastAsia"/>
                <w:b/>
                <w:bCs/>
              </w:rPr>
              <w:t xml:space="preserve"> общество с ограниченной ответственностью</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Единица измерения:</w:t>
            </w:r>
            <w:r w:rsidRPr="00C76478">
              <w:rPr>
                <w:rFonts w:eastAsiaTheme="minorEastAsia"/>
                <w:b/>
                <w:bCs/>
              </w:rPr>
              <w:t xml:space="preserve"> тыс. руб.</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384</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Местонахождение (адрес):</w:t>
            </w:r>
            <w:r w:rsidRPr="00C76478">
              <w:rPr>
                <w:rFonts w:eastAsiaTheme="minorEastAsia"/>
                <w:b/>
                <w:bCs/>
              </w:rPr>
              <w:t xml:space="preserve"> 641730 Россия, Курганская обл., г.Далматово,, Рукманиса 27</w:t>
            </w:r>
          </w:p>
        </w:tc>
        <w:tc>
          <w:tcPr>
            <w:tcW w:w="1560" w:type="dxa"/>
            <w:tcBorders>
              <w:top w:val="nil"/>
              <w:left w:val="nil"/>
              <w:bottom w:val="nil"/>
              <w:right w:val="nil"/>
            </w:tcBorders>
          </w:tcPr>
          <w:p w:rsidR="00B20811" w:rsidRPr="00C76478" w:rsidRDefault="00B20811">
            <w:pPr>
              <w:rPr>
                <w:rFonts w:eastAsiaTheme="minorEastAsia"/>
              </w:rPr>
            </w:pPr>
          </w:p>
        </w:tc>
        <w:tc>
          <w:tcPr>
            <w:tcW w:w="1580" w:type="dxa"/>
            <w:tcBorders>
              <w:top w:val="nil"/>
              <w:left w:val="nil"/>
              <w:bottom w:val="nil"/>
              <w:right w:val="nil"/>
            </w:tcBorders>
          </w:tcPr>
          <w:p w:rsidR="00B20811" w:rsidRPr="00C76478" w:rsidRDefault="00B20811">
            <w:pPr>
              <w:rPr>
                <w:rFonts w:eastAsiaTheme="minorEastAsia"/>
              </w:rPr>
            </w:pPr>
          </w:p>
        </w:tc>
      </w:tr>
    </w:tbl>
    <w:p w:rsidR="00B20811" w:rsidRDefault="00B20811">
      <w:pPr>
        <w:pStyle w:val="ThinDelim"/>
      </w:pPr>
    </w:p>
    <w:tbl>
      <w:tblPr>
        <w:tblW w:w="0" w:type="auto"/>
        <w:tblLayout w:type="fixed"/>
        <w:tblCellMar>
          <w:left w:w="72" w:type="dxa"/>
          <w:right w:w="72" w:type="dxa"/>
        </w:tblCellMar>
        <w:tblLook w:val="0000"/>
      </w:tblPr>
      <w:tblGrid>
        <w:gridCol w:w="5392"/>
        <w:gridCol w:w="720"/>
        <w:gridCol w:w="1560"/>
        <w:gridCol w:w="1580"/>
      </w:tblGrid>
      <w:tr w:rsidR="00B20811" w:rsidRPr="00C76478">
        <w:tc>
          <w:tcPr>
            <w:tcW w:w="539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За отчетный период</w:t>
            </w:r>
          </w:p>
        </w:tc>
        <w:tc>
          <w:tcPr>
            <w:tcW w:w="1580"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За аналогичный период предыдущего года</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Доходы и расходы по обычным видам деятельности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Себестоимость проданных товаров, продукции, работ, услуг</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Валовая прибыль</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029</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Коммерческие расходы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030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Управленческие расходы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040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Прибыль (убыток) от продаж</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Операционные доходы и расходы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Проценты к получению</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060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8 583</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Проценты к уплате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070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-1 167</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-9 669</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Доходы от участия в других организациях</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080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операционные доходы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090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операционные расходы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100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-1 513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-2 147</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Внереализационные доходы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Внереализационные расходы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130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Прибыль (убыток) до налогообложения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140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-2 680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-3 233</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Отложенные налоговые активы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141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Отложенные налоговые обязательства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142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Текущий налог на прибыль</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Чистая прибыль (убыток) отчетного периода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190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-2 680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-3 233</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СПРАВОЧНО: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Постоянные налоговые обязательства (активы)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200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Базовая прибыль (убыток) на акцию</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201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53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Разводненная прибыль (убыток) на акцию</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202</w:t>
            </w:r>
          </w:p>
        </w:tc>
        <w:tc>
          <w:tcPr>
            <w:tcW w:w="1560"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580"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4092"/>
        <w:gridCol w:w="720"/>
        <w:gridCol w:w="1100"/>
        <w:gridCol w:w="1100"/>
        <w:gridCol w:w="1100"/>
        <w:gridCol w:w="1140"/>
      </w:tblGrid>
      <w:tr w:rsidR="00B20811" w:rsidRPr="00C76478">
        <w:tc>
          <w:tcPr>
            <w:tcW w:w="409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lastRenderedPageBreak/>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2200" w:type="dxa"/>
            <w:gridSpan w:val="2"/>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За отчетный период</w:t>
            </w:r>
          </w:p>
        </w:tc>
        <w:tc>
          <w:tcPr>
            <w:tcW w:w="2240" w:type="dxa"/>
            <w:gridSpan w:val="2"/>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За аналогичный период предыдущего года</w:t>
            </w:r>
          </w:p>
        </w:tc>
      </w:tr>
      <w:tr w:rsidR="00B20811" w:rsidRPr="00C76478">
        <w:tc>
          <w:tcPr>
            <w:tcW w:w="40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прибыль</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убыток</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прибыль</w:t>
            </w:r>
          </w:p>
        </w:tc>
        <w:tc>
          <w:tcPr>
            <w:tcW w:w="114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убыток</w:t>
            </w:r>
          </w:p>
        </w:tc>
      </w:tr>
      <w:tr w:rsidR="00B20811" w:rsidRPr="00C76478">
        <w:tc>
          <w:tcPr>
            <w:tcW w:w="40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w:t>
            </w:r>
          </w:p>
        </w:tc>
        <w:tc>
          <w:tcPr>
            <w:tcW w:w="114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6</w:t>
            </w:r>
          </w:p>
        </w:tc>
      </w:tr>
      <w:tr w:rsidR="00B20811" w:rsidRPr="00C76478">
        <w:tc>
          <w:tcPr>
            <w:tcW w:w="40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Штрафы, пени и неустойки признанные или по которым получены решения суда (арбитражного суда) об их взыскании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230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4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40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Прибыль (убыток)  прошлых лет</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240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4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40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Возмещение убытков, причиненных неисполнением или ненадлежащим исполнением обязательств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250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4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40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Курсовые разницы по операциям в иностранной валюте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260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4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40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Отчисления в оценочные резервы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270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00" w:type="dxa"/>
            <w:tcBorders>
              <w:top w:val="single" w:sz="6" w:space="0" w:color="auto"/>
              <w:left w:val="single" w:sz="6" w:space="0" w:color="auto"/>
              <w:bottom w:val="sing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40" w:type="dxa"/>
            <w:tcBorders>
              <w:top w:val="single" w:sz="6" w:space="0" w:color="auto"/>
              <w:left w:val="single" w:sz="6" w:space="0" w:color="auto"/>
              <w:bottom w:val="sing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r w:rsidR="00B20811" w:rsidRPr="00C76478">
        <w:tc>
          <w:tcPr>
            <w:tcW w:w="40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Списание дебиторских и кредиторских задолженностей, по которым истек срок исковой давности</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280</w:t>
            </w:r>
          </w:p>
        </w:tc>
        <w:tc>
          <w:tcPr>
            <w:tcW w:w="1100"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00"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00" w:type="dxa"/>
            <w:tcBorders>
              <w:top w:val="single" w:sz="6" w:space="0" w:color="auto"/>
              <w:left w:val="single" w:sz="6" w:space="0" w:color="auto"/>
              <w:bottom w:val="double" w:sz="6" w:space="0" w:color="auto"/>
              <w:right w:val="single" w:sz="6" w:space="0" w:color="auto"/>
            </w:tcBorders>
          </w:tcPr>
          <w:p w:rsidR="00B20811" w:rsidRPr="00C76478" w:rsidRDefault="00B20811">
            <w:pPr>
              <w:jc w:val="right"/>
              <w:rPr>
                <w:rFonts w:eastAsiaTheme="minorEastAsia"/>
              </w:rPr>
            </w:pPr>
            <w:r w:rsidRPr="00C76478">
              <w:rPr>
                <w:rFonts w:eastAsiaTheme="minorEastAsia"/>
              </w:rPr>
              <w:t>0</w:t>
            </w:r>
          </w:p>
        </w:tc>
        <w:tc>
          <w:tcPr>
            <w:tcW w:w="1140" w:type="dxa"/>
            <w:tcBorders>
              <w:top w:val="single" w:sz="6" w:space="0" w:color="auto"/>
              <w:left w:val="single" w:sz="6" w:space="0" w:color="auto"/>
              <w:bottom w:val="double" w:sz="6" w:space="0" w:color="auto"/>
              <w:right w:val="double" w:sz="6" w:space="0" w:color="auto"/>
            </w:tcBorders>
          </w:tcPr>
          <w:p w:rsidR="00B20811" w:rsidRPr="00C76478" w:rsidRDefault="00B20811">
            <w:pPr>
              <w:jc w:val="right"/>
              <w:rPr>
                <w:rFonts w:eastAsiaTheme="minorEastAsia"/>
              </w:rPr>
            </w:pPr>
            <w:r w:rsidRPr="00C76478">
              <w:rPr>
                <w:rFonts w:eastAsiaTheme="minorEastAsia"/>
              </w:rPr>
              <w:t>0</w:t>
            </w:r>
          </w:p>
        </w:tc>
      </w:tr>
    </w:tbl>
    <w:p w:rsidR="00B20811" w:rsidRDefault="00B20811"/>
    <w:p w:rsidR="00B20811" w:rsidRDefault="00B20811"/>
    <w:p w:rsidR="00B20811" w:rsidRDefault="00B20811">
      <w:pPr>
        <w:pStyle w:val="SubHeading"/>
      </w:pPr>
      <w:r>
        <w:br w:type="page"/>
      </w:r>
    </w:p>
    <w:p w:rsidR="00B20811" w:rsidRDefault="00B20811">
      <w:pPr>
        <w:jc w:val="center"/>
        <w:rPr>
          <w:b/>
          <w:bCs/>
        </w:rPr>
      </w:pPr>
      <w:r>
        <w:rPr>
          <w:b/>
          <w:bCs/>
        </w:rPr>
        <w:t>Отчет об изменениях капитала</w:t>
      </w:r>
      <w:r>
        <w:rPr>
          <w:b/>
          <w:bCs/>
        </w:rPr>
        <w:br/>
        <w:t>за 6 мес. 2010г.</w:t>
      </w:r>
    </w:p>
    <w:tbl>
      <w:tblPr>
        <w:tblW w:w="0" w:type="auto"/>
        <w:tblLayout w:type="fixed"/>
        <w:tblCellMar>
          <w:left w:w="72" w:type="dxa"/>
          <w:right w:w="72" w:type="dxa"/>
        </w:tblCellMar>
        <w:tblLook w:val="0000"/>
      </w:tblPr>
      <w:tblGrid>
        <w:gridCol w:w="6112"/>
        <w:gridCol w:w="1560"/>
        <w:gridCol w:w="1580"/>
      </w:tblGrid>
      <w:tr w:rsidR="00B20811" w:rsidRPr="00C76478">
        <w:tc>
          <w:tcPr>
            <w:tcW w:w="6112" w:type="dxa"/>
            <w:tcBorders>
              <w:top w:val="nil"/>
              <w:left w:val="nil"/>
              <w:bottom w:val="nil"/>
              <w:right w:val="nil"/>
            </w:tcBorders>
          </w:tcPr>
          <w:p w:rsidR="00B20811" w:rsidRPr="00C76478" w:rsidRDefault="00B20811">
            <w:pPr>
              <w:rPr>
                <w:rFonts w:eastAsiaTheme="minorEastAsia"/>
              </w:rPr>
            </w:pPr>
          </w:p>
        </w:tc>
        <w:tc>
          <w:tcPr>
            <w:tcW w:w="1560" w:type="dxa"/>
            <w:tcBorders>
              <w:top w:val="nil"/>
              <w:left w:val="nil"/>
              <w:bottom w:val="nil"/>
              <w:right w:val="nil"/>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Коды</w:t>
            </w:r>
          </w:p>
        </w:tc>
      </w:tr>
      <w:tr w:rsidR="00B20811" w:rsidRPr="00C76478">
        <w:tc>
          <w:tcPr>
            <w:tcW w:w="7672" w:type="dxa"/>
            <w:gridSpan w:val="2"/>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Форма № 3 по ОКУД</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0710003</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Дата</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30.06.2010</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Организация:</w:t>
            </w:r>
            <w:r w:rsidRPr="00C76478">
              <w:rPr>
                <w:rFonts w:eastAsiaTheme="minorEastAsia"/>
                <w:b/>
                <w:bCs/>
              </w:rPr>
              <w:t xml:space="preserve"> Общество с ограниченной ответственностью "Далур-Финанс"</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80644303</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r w:rsidRPr="00C76478">
              <w:rPr>
                <w:rFonts w:eastAsiaTheme="minorEastAsia"/>
              </w:rPr>
              <w:t>Идентификационный номер налогоплательщика</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4506008308</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r w:rsidRPr="00C76478">
              <w:rPr>
                <w:rFonts w:eastAsiaTheme="minorEastAsia"/>
              </w:rPr>
              <w:t>Вид деятельности</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ОКВЭД</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67.12.4</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Организационно-правовая форма / форма собственности:</w:t>
            </w:r>
            <w:r w:rsidRPr="00C76478">
              <w:rPr>
                <w:rFonts w:eastAsiaTheme="minorEastAsia"/>
                <w:b/>
                <w:bCs/>
              </w:rPr>
              <w:t xml:space="preserve"> общество с ограниченной ответственностью</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Единица измерения:</w:t>
            </w:r>
            <w:r w:rsidRPr="00C76478">
              <w:rPr>
                <w:rFonts w:eastAsiaTheme="minorEastAsia"/>
                <w:b/>
                <w:bCs/>
              </w:rPr>
              <w:t xml:space="preserve"> тыс. руб.</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384</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Местонахождение (адрес):</w:t>
            </w:r>
            <w:r w:rsidRPr="00C76478">
              <w:rPr>
                <w:rFonts w:eastAsiaTheme="minorEastAsia"/>
                <w:b/>
                <w:bCs/>
              </w:rPr>
              <w:t xml:space="preserve"> 641730 Россия, Курганская обл., г.Далматово,, Рукманиса 27</w:t>
            </w:r>
          </w:p>
        </w:tc>
        <w:tc>
          <w:tcPr>
            <w:tcW w:w="1560" w:type="dxa"/>
            <w:tcBorders>
              <w:top w:val="nil"/>
              <w:left w:val="nil"/>
              <w:bottom w:val="nil"/>
              <w:right w:val="nil"/>
            </w:tcBorders>
          </w:tcPr>
          <w:p w:rsidR="00B20811" w:rsidRPr="00C76478" w:rsidRDefault="00B20811">
            <w:pPr>
              <w:rPr>
                <w:rFonts w:eastAsiaTheme="minorEastAsia"/>
              </w:rPr>
            </w:pPr>
          </w:p>
        </w:tc>
        <w:tc>
          <w:tcPr>
            <w:tcW w:w="1580" w:type="dxa"/>
            <w:tcBorders>
              <w:top w:val="nil"/>
              <w:left w:val="nil"/>
              <w:bottom w:val="nil"/>
              <w:right w:val="nil"/>
            </w:tcBorders>
          </w:tcPr>
          <w:p w:rsidR="00B20811" w:rsidRPr="00C76478" w:rsidRDefault="00B20811">
            <w:pPr>
              <w:rPr>
                <w:rFonts w:eastAsiaTheme="minorEastAsia"/>
              </w:rPr>
            </w:pPr>
          </w:p>
        </w:tc>
      </w:tr>
    </w:tbl>
    <w:p w:rsidR="00B20811" w:rsidRDefault="00B20811">
      <w:pPr>
        <w:pStyle w:val="ThinDelim"/>
      </w:pPr>
    </w:p>
    <w:tbl>
      <w:tblPr>
        <w:tblW w:w="0" w:type="auto"/>
        <w:tblLayout w:type="fixed"/>
        <w:tblCellMar>
          <w:left w:w="72" w:type="dxa"/>
          <w:right w:w="72" w:type="dxa"/>
        </w:tblCellMar>
        <w:tblLook w:val="0000"/>
      </w:tblPr>
      <w:tblGrid>
        <w:gridCol w:w="2532"/>
        <w:gridCol w:w="720"/>
        <w:gridCol w:w="1180"/>
        <w:gridCol w:w="1180"/>
        <w:gridCol w:w="1180"/>
        <w:gridCol w:w="1180"/>
        <w:gridCol w:w="1280"/>
      </w:tblGrid>
      <w:tr w:rsidR="00B20811" w:rsidRPr="00C76478">
        <w:tc>
          <w:tcPr>
            <w:tcW w:w="9252" w:type="dxa"/>
            <w:gridSpan w:val="7"/>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I. Изменения капитала</w:t>
            </w: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Уставный капитал</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Добавочный капитал</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Резервный капитал</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Нераспределенная прибыль (непокрытый убыток)</w:t>
            </w: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Итого</w:t>
            </w: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w:t>
            </w: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7</w:t>
            </w: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Остаток на 31 декабря года, предшествующего предыдущему</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010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Изменения в учетной политике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020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Результат от переоценки объектов основных средств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030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Остаток на 1 января предыдущего года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050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Результат от пересчета иностранных валют</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055</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Чистая прибыль</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060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Дивиденды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065</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Отчисления в резервный фонд</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067</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Увеличение величины капитала за счет:</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дополнительного выпуска акций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070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увеличения номинальной стоимости акций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075</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реорганизации юридического лица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080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Уменьшение величины капитала за счет:</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уменьшения номинала акций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085</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уменьшения количества акций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086</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lastRenderedPageBreak/>
              <w:t>реорганизации юридического лица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087</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Остаток на 31 декабря предыдущего года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090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Изменения в учетной политике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092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Результат от переоценки объектов основных средств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094</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Остаток на 1 января отчетного года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100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Результат от пересчета иностранных валют</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102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Чистая прибыль</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106</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Дивиденды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108</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Отчисления в резервный фонд</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110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Увеличение величины капитала за счет:</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дополнительного выпуска акций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121</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увеличения номинальной стоимости акций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122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реорганизации юридического лица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123</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I. Изменения капитала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Уменьшение величины капитала за счет:</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уменьшения номинала акций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131</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уменьшения количества акций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132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реорганизации юридического лица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133</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253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Остаток на 31 декабря отчетного года</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140</w:t>
            </w: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28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3732"/>
        <w:gridCol w:w="720"/>
        <w:gridCol w:w="1180"/>
        <w:gridCol w:w="1180"/>
        <w:gridCol w:w="1180"/>
        <w:gridCol w:w="1260"/>
      </w:tblGrid>
      <w:tr w:rsidR="00B20811" w:rsidRPr="00C76478">
        <w:tc>
          <w:tcPr>
            <w:tcW w:w="9252" w:type="dxa"/>
            <w:gridSpan w:val="6"/>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II. Резервы</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Остаток на начало отчетного года</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Поступило в отчетном году</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Израсходовано (использовано) в отчетном году</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Остаток на конец отчетного года</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6</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Резервы, образованные в соответствии с законодательством:</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данные предыдущего года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данные отчетного года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Резервы, образованные в соответствии с учредительными документами: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lastRenderedPageBreak/>
              <w:t>данные предыдущего года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данные отчетного года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Оценочные резервы: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данные предыдущего года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данные отчетного года</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3732"/>
        <w:gridCol w:w="720"/>
        <w:gridCol w:w="1180"/>
        <w:gridCol w:w="1180"/>
        <w:gridCol w:w="1180"/>
        <w:gridCol w:w="1260"/>
      </w:tblGrid>
      <w:tr w:rsidR="00B20811" w:rsidRPr="00C76478">
        <w:tc>
          <w:tcPr>
            <w:tcW w:w="9252" w:type="dxa"/>
            <w:gridSpan w:val="6"/>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Справки</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w:t>
            </w:r>
          </w:p>
        </w:tc>
        <w:tc>
          <w:tcPr>
            <w:tcW w:w="23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Остаток на начало отчетного года</w:t>
            </w:r>
          </w:p>
        </w:tc>
        <w:tc>
          <w:tcPr>
            <w:tcW w:w="244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Остаток на конец отчетного периода</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23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244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1) Чистые активы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200</w:t>
            </w:r>
          </w:p>
        </w:tc>
        <w:tc>
          <w:tcPr>
            <w:tcW w:w="23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244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23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Из бюджета</w:t>
            </w:r>
          </w:p>
        </w:tc>
        <w:tc>
          <w:tcPr>
            <w:tcW w:w="244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Из внебюджетных фондов</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за отчетный год</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за предыдущий год</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за отчетный год</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за предыдущий год</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6</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2) Получено на: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расходы по обычным видам деятельности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210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капитальные вложения во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220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 w:rsidR="00B20811" w:rsidRDefault="00B20811">
      <w:pPr>
        <w:pStyle w:val="SubHeading"/>
      </w:pPr>
      <w:r>
        <w:br w:type="page"/>
      </w:r>
    </w:p>
    <w:p w:rsidR="00B20811" w:rsidRDefault="00B20811">
      <w:pPr>
        <w:jc w:val="center"/>
        <w:rPr>
          <w:b/>
          <w:bCs/>
        </w:rPr>
      </w:pPr>
      <w:r>
        <w:rPr>
          <w:b/>
          <w:bCs/>
        </w:rPr>
        <w:t>Отчет о движении денежных средств</w:t>
      </w:r>
      <w:r>
        <w:rPr>
          <w:b/>
          <w:bCs/>
        </w:rPr>
        <w:br/>
        <w:t>за 6 мес. 2010г.</w:t>
      </w:r>
    </w:p>
    <w:tbl>
      <w:tblPr>
        <w:tblW w:w="0" w:type="auto"/>
        <w:tblLayout w:type="fixed"/>
        <w:tblCellMar>
          <w:left w:w="72" w:type="dxa"/>
          <w:right w:w="72" w:type="dxa"/>
        </w:tblCellMar>
        <w:tblLook w:val="0000"/>
      </w:tblPr>
      <w:tblGrid>
        <w:gridCol w:w="6112"/>
        <w:gridCol w:w="1560"/>
        <w:gridCol w:w="1580"/>
      </w:tblGrid>
      <w:tr w:rsidR="00B20811" w:rsidRPr="00C76478">
        <w:tc>
          <w:tcPr>
            <w:tcW w:w="6112" w:type="dxa"/>
            <w:tcBorders>
              <w:top w:val="nil"/>
              <w:left w:val="nil"/>
              <w:bottom w:val="nil"/>
              <w:right w:val="nil"/>
            </w:tcBorders>
          </w:tcPr>
          <w:p w:rsidR="00B20811" w:rsidRPr="00C76478" w:rsidRDefault="00B20811">
            <w:pPr>
              <w:rPr>
                <w:rFonts w:eastAsiaTheme="minorEastAsia"/>
              </w:rPr>
            </w:pPr>
          </w:p>
        </w:tc>
        <w:tc>
          <w:tcPr>
            <w:tcW w:w="1560" w:type="dxa"/>
            <w:tcBorders>
              <w:top w:val="nil"/>
              <w:left w:val="nil"/>
              <w:bottom w:val="nil"/>
              <w:right w:val="nil"/>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Коды</w:t>
            </w:r>
          </w:p>
        </w:tc>
      </w:tr>
      <w:tr w:rsidR="00B20811" w:rsidRPr="00C76478">
        <w:tc>
          <w:tcPr>
            <w:tcW w:w="7672" w:type="dxa"/>
            <w:gridSpan w:val="2"/>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Форма № 4 по ОКУД</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0710004</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Дата</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30.06.2010</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Организация:</w:t>
            </w:r>
            <w:r w:rsidRPr="00C76478">
              <w:rPr>
                <w:rFonts w:eastAsiaTheme="minorEastAsia"/>
                <w:b/>
                <w:bCs/>
              </w:rPr>
              <w:t xml:space="preserve"> Общество с ограниченной ответственностью "Далур-Финанс"</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80644303</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r w:rsidRPr="00C76478">
              <w:rPr>
                <w:rFonts w:eastAsiaTheme="minorEastAsia"/>
              </w:rPr>
              <w:t>Идентификационный номер налогоплательщика</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4506008308</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r w:rsidRPr="00C76478">
              <w:rPr>
                <w:rFonts w:eastAsiaTheme="minorEastAsia"/>
              </w:rPr>
              <w:t>Вид деятельности</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ОКВЭД</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67.12.4</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Организационно-правовая форма / форма собственности:</w:t>
            </w:r>
            <w:r w:rsidRPr="00C76478">
              <w:rPr>
                <w:rFonts w:eastAsiaTheme="minorEastAsia"/>
                <w:b/>
                <w:bCs/>
              </w:rPr>
              <w:t xml:space="preserve"> общество с ограниченной ответственностью</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Единица измерения:</w:t>
            </w:r>
            <w:r w:rsidRPr="00C76478">
              <w:rPr>
                <w:rFonts w:eastAsiaTheme="minorEastAsia"/>
                <w:b/>
                <w:bCs/>
              </w:rPr>
              <w:t xml:space="preserve"> тыс. руб.</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384</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Местонахождение (адрес):</w:t>
            </w:r>
            <w:r w:rsidRPr="00C76478">
              <w:rPr>
                <w:rFonts w:eastAsiaTheme="minorEastAsia"/>
                <w:b/>
                <w:bCs/>
              </w:rPr>
              <w:t xml:space="preserve"> 641730 Россия, Курганская обл., г.Далматово,, Рукманиса 27</w:t>
            </w:r>
          </w:p>
        </w:tc>
        <w:tc>
          <w:tcPr>
            <w:tcW w:w="1560" w:type="dxa"/>
            <w:tcBorders>
              <w:top w:val="nil"/>
              <w:left w:val="nil"/>
              <w:bottom w:val="nil"/>
              <w:right w:val="nil"/>
            </w:tcBorders>
          </w:tcPr>
          <w:p w:rsidR="00B20811" w:rsidRPr="00C76478" w:rsidRDefault="00B20811">
            <w:pPr>
              <w:rPr>
                <w:rFonts w:eastAsiaTheme="minorEastAsia"/>
              </w:rPr>
            </w:pPr>
          </w:p>
        </w:tc>
        <w:tc>
          <w:tcPr>
            <w:tcW w:w="1580" w:type="dxa"/>
            <w:tcBorders>
              <w:top w:val="nil"/>
              <w:left w:val="nil"/>
              <w:bottom w:val="nil"/>
              <w:right w:val="nil"/>
            </w:tcBorders>
          </w:tcPr>
          <w:p w:rsidR="00B20811" w:rsidRPr="00C76478" w:rsidRDefault="00B20811">
            <w:pPr>
              <w:rPr>
                <w:rFonts w:eastAsiaTheme="minorEastAsia"/>
              </w:rPr>
            </w:pPr>
          </w:p>
        </w:tc>
      </w:tr>
    </w:tbl>
    <w:p w:rsidR="00B20811" w:rsidRDefault="00B20811">
      <w:pPr>
        <w:pStyle w:val="ThinDelim"/>
      </w:pPr>
    </w:p>
    <w:tbl>
      <w:tblPr>
        <w:tblW w:w="0" w:type="auto"/>
        <w:tblLayout w:type="fixed"/>
        <w:tblCellMar>
          <w:left w:w="72" w:type="dxa"/>
          <w:right w:w="72" w:type="dxa"/>
        </w:tblCellMar>
        <w:tblLook w:val="0000"/>
      </w:tblPr>
      <w:tblGrid>
        <w:gridCol w:w="5392"/>
        <w:gridCol w:w="720"/>
        <w:gridCol w:w="1560"/>
        <w:gridCol w:w="1580"/>
      </w:tblGrid>
      <w:tr w:rsidR="00B20811" w:rsidRPr="00C76478">
        <w:tc>
          <w:tcPr>
            <w:tcW w:w="539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За отчетный период</w:t>
            </w:r>
          </w:p>
        </w:tc>
        <w:tc>
          <w:tcPr>
            <w:tcW w:w="1580"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За аналогичный период предыдущего года</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Остаток денежных средств на начало отчетного года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Движение денежных средств по текущей деятельности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Средства, полученные от покупателей, заказчиков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доходы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Денежные средства, направленные: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на оплату приобретенных товаров, услуг, сырья и иных оборотных активов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на оплату труда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160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на выплату дивидендов, процентов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170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на расчеты по налогам и сборам</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180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на прочие расходы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Чистые денежные средства от текущей деятельности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Движение денежных средств по инвестиционной деятельности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Выручка от продажи объектов основных средств и иных внеоборотных активов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Выручка от продажи ценных бумаг и иных финансовых вложений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Полученные дивиденды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230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Полученные проценты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240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Поступления от погашения займов, предоставленных другим организациям</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Приобретение дочерних организаций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280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Приобретение объектов основных средств, доходных вложений в материальные ценности и нематериальных активов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290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Приобретение ценных бумаг и иных финансовых вложений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300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Займы, предоставленные другим организациям</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Чистые денежные средства от инвестиционной деятельности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340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lastRenderedPageBreak/>
              <w:t>Движение денежных средств по финансовой деятельности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Поступления от эмиссии акций или иных долевых бумаг</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Поступления от займов и кредитов, предоставленных другими организациями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360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Погашение займов и кредитов (без процентов)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390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Погашение обязательств по финансовой аренде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400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Чистые денежные средства от финансовой деятельности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Чистое увеличение (уменьшение) денежных средств и их эквивалентов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Остаток денежных средств на конец отчетного периода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430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Величина влияния изменений курса иностранной валюты по отношению к рублю</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 w:rsidR="00B20811" w:rsidRDefault="00B20811">
      <w:pPr>
        <w:pStyle w:val="SubHeading"/>
      </w:pPr>
      <w:r>
        <w:br w:type="page"/>
      </w:r>
    </w:p>
    <w:p w:rsidR="00B20811" w:rsidRDefault="00B20811">
      <w:pPr>
        <w:jc w:val="center"/>
        <w:rPr>
          <w:b/>
          <w:bCs/>
        </w:rPr>
      </w:pPr>
      <w:r>
        <w:rPr>
          <w:b/>
          <w:bCs/>
        </w:rPr>
        <w:t>Приложение к бухгалтерскому балансу</w:t>
      </w:r>
      <w:r>
        <w:rPr>
          <w:b/>
          <w:bCs/>
        </w:rPr>
        <w:br/>
        <w:t>за 6 мес. 2010г.</w:t>
      </w:r>
    </w:p>
    <w:tbl>
      <w:tblPr>
        <w:tblW w:w="0" w:type="auto"/>
        <w:tblLayout w:type="fixed"/>
        <w:tblCellMar>
          <w:left w:w="72" w:type="dxa"/>
          <w:right w:w="72" w:type="dxa"/>
        </w:tblCellMar>
        <w:tblLook w:val="0000"/>
      </w:tblPr>
      <w:tblGrid>
        <w:gridCol w:w="6112"/>
        <w:gridCol w:w="1560"/>
        <w:gridCol w:w="1580"/>
      </w:tblGrid>
      <w:tr w:rsidR="00B20811" w:rsidRPr="00C76478">
        <w:tc>
          <w:tcPr>
            <w:tcW w:w="6112" w:type="dxa"/>
            <w:tcBorders>
              <w:top w:val="nil"/>
              <w:left w:val="nil"/>
              <w:bottom w:val="nil"/>
              <w:right w:val="nil"/>
            </w:tcBorders>
          </w:tcPr>
          <w:p w:rsidR="00B20811" w:rsidRPr="00C76478" w:rsidRDefault="00B20811">
            <w:pPr>
              <w:rPr>
                <w:rFonts w:eastAsiaTheme="minorEastAsia"/>
              </w:rPr>
            </w:pPr>
          </w:p>
        </w:tc>
        <w:tc>
          <w:tcPr>
            <w:tcW w:w="1560" w:type="dxa"/>
            <w:tcBorders>
              <w:top w:val="nil"/>
              <w:left w:val="nil"/>
              <w:bottom w:val="nil"/>
              <w:right w:val="nil"/>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Коды</w:t>
            </w:r>
          </w:p>
        </w:tc>
      </w:tr>
      <w:tr w:rsidR="00B20811" w:rsidRPr="00C76478">
        <w:tc>
          <w:tcPr>
            <w:tcW w:w="7672" w:type="dxa"/>
            <w:gridSpan w:val="2"/>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Форма № 5 по ОКУД</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0710005</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Дата</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30.06.2010</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Организация:</w:t>
            </w:r>
            <w:r w:rsidRPr="00C76478">
              <w:rPr>
                <w:rFonts w:eastAsiaTheme="minorEastAsia"/>
                <w:b/>
                <w:bCs/>
              </w:rPr>
              <w:t xml:space="preserve"> Общество с ограниченной ответственностью "Далур-Финанс"</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ОКПО</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80644303</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r w:rsidRPr="00C76478">
              <w:rPr>
                <w:rFonts w:eastAsiaTheme="minorEastAsia"/>
              </w:rPr>
              <w:t>Идентификационный номер налогоплательщика</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ИНН</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4506008308</w:t>
            </w:r>
          </w:p>
        </w:tc>
      </w:tr>
      <w:tr w:rsidR="00B20811" w:rsidRPr="00C76478">
        <w:tc>
          <w:tcPr>
            <w:tcW w:w="6112" w:type="dxa"/>
            <w:tcBorders>
              <w:top w:val="nil"/>
              <w:left w:val="nil"/>
              <w:bottom w:val="nil"/>
              <w:right w:val="nil"/>
            </w:tcBorders>
          </w:tcPr>
          <w:p w:rsidR="00B20811" w:rsidRPr="00C76478" w:rsidRDefault="00B20811">
            <w:pPr>
              <w:rPr>
                <w:rFonts w:eastAsiaTheme="minorEastAsia"/>
              </w:rPr>
            </w:pPr>
            <w:r w:rsidRPr="00C76478">
              <w:rPr>
                <w:rFonts w:eastAsiaTheme="minorEastAsia"/>
              </w:rPr>
              <w:t>Вид деятельности</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ОКВЭД</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67.12.4</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Организационно-правовая форма / форма собственности:</w:t>
            </w:r>
            <w:r w:rsidRPr="00C76478">
              <w:rPr>
                <w:rFonts w:eastAsiaTheme="minorEastAsia"/>
                <w:b/>
                <w:bCs/>
              </w:rPr>
              <w:t xml:space="preserve"> общество с ограниченной ответственностью</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ОКОПФ / ОКФС</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Единица измерения:</w:t>
            </w:r>
            <w:r w:rsidRPr="00C76478">
              <w:rPr>
                <w:rFonts w:eastAsiaTheme="minorEastAsia"/>
                <w:b/>
                <w:bCs/>
              </w:rPr>
              <w:t xml:space="preserve"> тыс. руб.</w:t>
            </w:r>
          </w:p>
        </w:tc>
        <w:tc>
          <w:tcPr>
            <w:tcW w:w="1560" w:type="dxa"/>
            <w:tcBorders>
              <w:top w:val="nil"/>
              <w:left w:val="nil"/>
              <w:bottom w:val="nil"/>
              <w:right w:val="nil"/>
            </w:tcBorders>
          </w:tcPr>
          <w:p w:rsidR="00B20811" w:rsidRPr="00C76478" w:rsidRDefault="00B20811">
            <w:pPr>
              <w:jc w:val="right"/>
              <w:rPr>
                <w:rFonts w:eastAsiaTheme="minorEastAsia"/>
              </w:rPr>
            </w:pPr>
            <w:r w:rsidRPr="00C76478">
              <w:rPr>
                <w:rFonts w:eastAsiaTheme="minorEastAsia"/>
              </w:rPr>
              <w:t>по ОКЕИ</w:t>
            </w:r>
          </w:p>
        </w:tc>
        <w:tc>
          <w:tcPr>
            <w:tcW w:w="15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b/>
                <w:bCs/>
              </w:rPr>
            </w:pPr>
            <w:r w:rsidRPr="00C76478">
              <w:rPr>
                <w:rFonts w:eastAsiaTheme="minorEastAsia"/>
                <w:b/>
                <w:bCs/>
              </w:rPr>
              <w:t>384</w:t>
            </w:r>
          </w:p>
        </w:tc>
      </w:tr>
      <w:tr w:rsidR="00B20811" w:rsidRPr="00C76478">
        <w:tc>
          <w:tcPr>
            <w:tcW w:w="6112" w:type="dxa"/>
            <w:tcBorders>
              <w:top w:val="nil"/>
              <w:left w:val="nil"/>
              <w:bottom w:val="nil"/>
              <w:right w:val="nil"/>
            </w:tcBorders>
          </w:tcPr>
          <w:p w:rsidR="00B20811" w:rsidRPr="00C76478" w:rsidRDefault="00B20811">
            <w:pPr>
              <w:rPr>
                <w:rFonts w:eastAsiaTheme="minorEastAsia"/>
                <w:b/>
                <w:bCs/>
              </w:rPr>
            </w:pPr>
            <w:r w:rsidRPr="00C76478">
              <w:rPr>
                <w:rFonts w:eastAsiaTheme="minorEastAsia"/>
              </w:rPr>
              <w:t>Местонахождение (адрес):</w:t>
            </w:r>
            <w:r w:rsidRPr="00C76478">
              <w:rPr>
                <w:rFonts w:eastAsiaTheme="minorEastAsia"/>
                <w:b/>
                <w:bCs/>
              </w:rPr>
              <w:t xml:space="preserve"> 641730 Россия, Курганская обл., г.Далматово,, Рукманиса 27</w:t>
            </w:r>
          </w:p>
        </w:tc>
        <w:tc>
          <w:tcPr>
            <w:tcW w:w="1560" w:type="dxa"/>
            <w:tcBorders>
              <w:top w:val="nil"/>
              <w:left w:val="nil"/>
              <w:bottom w:val="nil"/>
              <w:right w:val="nil"/>
            </w:tcBorders>
          </w:tcPr>
          <w:p w:rsidR="00B20811" w:rsidRPr="00C76478" w:rsidRDefault="00B20811">
            <w:pPr>
              <w:rPr>
                <w:rFonts w:eastAsiaTheme="minorEastAsia"/>
              </w:rPr>
            </w:pPr>
          </w:p>
        </w:tc>
        <w:tc>
          <w:tcPr>
            <w:tcW w:w="1580" w:type="dxa"/>
            <w:tcBorders>
              <w:top w:val="nil"/>
              <w:left w:val="nil"/>
              <w:bottom w:val="nil"/>
              <w:right w:val="nil"/>
            </w:tcBorders>
          </w:tcPr>
          <w:p w:rsidR="00B20811" w:rsidRPr="00C76478" w:rsidRDefault="00B20811">
            <w:pPr>
              <w:rPr>
                <w:rFonts w:eastAsiaTheme="minorEastAsia"/>
              </w:rPr>
            </w:pPr>
          </w:p>
        </w:tc>
      </w:tr>
    </w:tbl>
    <w:p w:rsidR="00B20811" w:rsidRDefault="00B20811">
      <w:pPr>
        <w:pStyle w:val="ThinDelim"/>
      </w:pPr>
    </w:p>
    <w:tbl>
      <w:tblPr>
        <w:tblW w:w="0" w:type="auto"/>
        <w:tblLayout w:type="fixed"/>
        <w:tblCellMar>
          <w:left w:w="72" w:type="dxa"/>
          <w:right w:w="72" w:type="dxa"/>
        </w:tblCellMar>
        <w:tblLook w:val="0000"/>
      </w:tblPr>
      <w:tblGrid>
        <w:gridCol w:w="3732"/>
        <w:gridCol w:w="720"/>
        <w:gridCol w:w="1180"/>
        <w:gridCol w:w="1180"/>
        <w:gridCol w:w="1180"/>
        <w:gridCol w:w="1260"/>
      </w:tblGrid>
      <w:tr w:rsidR="00B20811" w:rsidRPr="00C76478">
        <w:tc>
          <w:tcPr>
            <w:tcW w:w="9252" w:type="dxa"/>
            <w:gridSpan w:val="6"/>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Нематериальные активы</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Наличие на начало отчетного года</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Поступило</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Выбыло</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Остаток на конец отчетного периода</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6</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Объекты интеллектуальной собственности (исключительные права на результаты интеллектуальной собственности)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010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 патентообладателя на изобретение, промышленный образец, полезную модель</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011</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 правообладателя на программы ЭВМ, базы данных</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012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 правообладателя на топологии интегральных микросхем</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013</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 владельца на товарный знак и знак обслуживания, наименование места происхождения товаров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014</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у патентообладателя на селекционные достижения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015</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Организационные расходы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Деловая репутация организации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Прочие</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040</w:t>
            </w: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5392"/>
        <w:gridCol w:w="720"/>
        <w:gridCol w:w="1560"/>
        <w:gridCol w:w="1580"/>
      </w:tblGrid>
      <w:tr w:rsidR="00B20811" w:rsidRPr="00C76478">
        <w:tc>
          <w:tcPr>
            <w:tcW w:w="539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 начало отчетного года</w:t>
            </w:r>
          </w:p>
        </w:tc>
        <w:tc>
          <w:tcPr>
            <w:tcW w:w="1580"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На конец отчетного периода</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Амортизация нематериальных активов - всего</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3732"/>
        <w:gridCol w:w="720"/>
        <w:gridCol w:w="1180"/>
        <w:gridCol w:w="1180"/>
        <w:gridCol w:w="1180"/>
        <w:gridCol w:w="1260"/>
      </w:tblGrid>
      <w:tr w:rsidR="00B20811" w:rsidRPr="00C76478">
        <w:tc>
          <w:tcPr>
            <w:tcW w:w="9252" w:type="dxa"/>
            <w:gridSpan w:val="6"/>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Основные средства</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lastRenderedPageBreak/>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Наличие на начало отчетного года</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Поступило</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Выбыло</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Остаток на конец отчетного периода</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6</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Здания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110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Сооружения и передаточные устройства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111</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Машины и оборудование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112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Транспортные средства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113</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Производственный и хозяйственный инвентарь</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114</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Рабочий скот</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115</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Продуктивный скот</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116</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Многолетние насаждения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117</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Другие виды основных средств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118</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Земельные участки и объекты природопользования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119</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Капитальные вложения на коренное улучшение земель</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120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Итого</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130</w:t>
            </w: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5392"/>
        <w:gridCol w:w="720"/>
        <w:gridCol w:w="1560"/>
        <w:gridCol w:w="1580"/>
      </w:tblGrid>
      <w:tr w:rsidR="00B20811" w:rsidRPr="00C76478">
        <w:tc>
          <w:tcPr>
            <w:tcW w:w="539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 начало отчетного года</w:t>
            </w:r>
          </w:p>
        </w:tc>
        <w:tc>
          <w:tcPr>
            <w:tcW w:w="1580"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На конец отчетного периода</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Амортизация основных средств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140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зданий и сооружений</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141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машин, оборудования, транспортных средств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142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других</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143</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Передано в аренду объектов основных средств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здания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151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сооружения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152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Переведено объектов основных средств на консервацию</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155</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Получено объектов основных средств в аренду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160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Объекты недвижимости, принятые в эксплуатацию и находящиеся в процессе государственной регистрации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165</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СПРАВОЧНО.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Результат от переоценки объектов основных средств: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170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первоначальной (восстановительной) стоимости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171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амортизации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172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Изменение стоимости объектов основных средств в результате достройки, дооборудования, реконструкции, частичной ликвидации</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180</w:t>
            </w:r>
          </w:p>
        </w:tc>
        <w:tc>
          <w:tcPr>
            <w:tcW w:w="156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3732"/>
        <w:gridCol w:w="720"/>
        <w:gridCol w:w="1180"/>
        <w:gridCol w:w="1180"/>
        <w:gridCol w:w="1180"/>
        <w:gridCol w:w="1260"/>
      </w:tblGrid>
      <w:tr w:rsidR="00B20811" w:rsidRPr="00C76478">
        <w:tc>
          <w:tcPr>
            <w:tcW w:w="9252" w:type="dxa"/>
            <w:gridSpan w:val="6"/>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Доходные вложения в материальные ценности</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lastRenderedPageBreak/>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Наличие на начало отчетного года</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Поступило</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Выбыло</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Остаток на конец отчетного периода</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6</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Имущество для передачи в лизинг</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210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Имущество, предоставляемое по договору проката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220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230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240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Амортизация доходных вложений в материальные ценности</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250</w:t>
            </w: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3732"/>
        <w:gridCol w:w="720"/>
        <w:gridCol w:w="1180"/>
        <w:gridCol w:w="1180"/>
        <w:gridCol w:w="1180"/>
        <w:gridCol w:w="1260"/>
      </w:tblGrid>
      <w:tr w:rsidR="00B20811" w:rsidRPr="00C76478">
        <w:tc>
          <w:tcPr>
            <w:tcW w:w="9252" w:type="dxa"/>
            <w:gridSpan w:val="6"/>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Расходы на научно-исследовательские, опытно-конструкторские и технологические работы</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Виды работ</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Наличие на начало отчетного года</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Поступило</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Списано</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Наличие на конец отчетного периода</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6</w:t>
            </w:r>
          </w:p>
        </w:tc>
      </w:tr>
      <w:tr w:rsidR="00B20811" w:rsidRPr="00C76478">
        <w:tc>
          <w:tcPr>
            <w:tcW w:w="373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Всего</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310</w:t>
            </w: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5392"/>
        <w:gridCol w:w="720"/>
        <w:gridCol w:w="1560"/>
        <w:gridCol w:w="1580"/>
      </w:tblGrid>
      <w:tr w:rsidR="00B20811" w:rsidRPr="00C76478">
        <w:tc>
          <w:tcPr>
            <w:tcW w:w="5392" w:type="dxa"/>
            <w:tcBorders>
              <w:top w:val="doub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tcBorders>
              <w:top w:val="doub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 начало отчетного года</w:t>
            </w:r>
          </w:p>
        </w:tc>
        <w:tc>
          <w:tcPr>
            <w:tcW w:w="1580" w:type="dxa"/>
            <w:tcBorders>
              <w:top w:val="doub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На конец отчетного периода</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СПРАВОЧНО. Сумма расходов по незаконченным научно-исследовательским, опытно-конструкторским и технологическим работам</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За отчетный период</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За аналогичный период предыдущего года</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Сумма не давших положительных результатов расходов по научно-исследовательским, опытно-конструкторским и технологическим работам, отнесенных на внереализационные расходы</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330</w:t>
            </w:r>
          </w:p>
        </w:tc>
        <w:tc>
          <w:tcPr>
            <w:tcW w:w="156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3732"/>
        <w:gridCol w:w="720"/>
        <w:gridCol w:w="940"/>
        <w:gridCol w:w="240"/>
        <w:gridCol w:w="480"/>
        <w:gridCol w:w="700"/>
        <w:gridCol w:w="860"/>
        <w:gridCol w:w="320"/>
        <w:gridCol w:w="1260"/>
      </w:tblGrid>
      <w:tr w:rsidR="00B20811" w:rsidRPr="00C76478">
        <w:tc>
          <w:tcPr>
            <w:tcW w:w="9252" w:type="dxa"/>
            <w:gridSpan w:val="9"/>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Расходы на освоение природных ресурсов</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Виды работ</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Остаток на начало отчетного периода</w:t>
            </w: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Поступило</w:t>
            </w: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Списано</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Остаток на конец отчетного периода</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w:t>
            </w: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6</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Расходы на освоение природных ресурсов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410</w:t>
            </w: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gridSpan w:val="3"/>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 начало отчетного года</w:t>
            </w:r>
          </w:p>
        </w:tc>
        <w:tc>
          <w:tcPr>
            <w:tcW w:w="158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На конец отчетного периода</w:t>
            </w:r>
          </w:p>
        </w:tc>
      </w:tr>
      <w:tr w:rsidR="00B20811" w:rsidRPr="00C76478">
        <w:tc>
          <w:tcPr>
            <w:tcW w:w="5392" w:type="dxa"/>
            <w:gridSpan w:val="3"/>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gridSpan w:val="3"/>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 xml:space="preserve">Сумма расходов по участкам недр, незаконченным поиском </w:t>
            </w:r>
            <w:r w:rsidRPr="00C76478">
              <w:rPr>
                <w:rFonts w:eastAsiaTheme="minorEastAsia"/>
              </w:rPr>
              <w:lastRenderedPageBreak/>
              <w:t>и оценкой месторождений, разведкой и (или) гидрогеологическими изысканиями и прочими аналогичными работами</w:t>
            </w:r>
          </w:p>
        </w:tc>
        <w:tc>
          <w:tcPr>
            <w:tcW w:w="72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lastRenderedPageBreak/>
              <w:t>420</w:t>
            </w:r>
          </w:p>
        </w:tc>
        <w:tc>
          <w:tcPr>
            <w:tcW w:w="15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gridSpan w:val="3"/>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lastRenderedPageBreak/>
              <w:t>Сумма расходов на освоение природных ресурсов, отнесенных в отчетном периоде на внереализационные расходы как безрезультатные</w:t>
            </w:r>
          </w:p>
        </w:tc>
        <w:tc>
          <w:tcPr>
            <w:tcW w:w="720" w:type="dxa"/>
            <w:gridSpan w:val="2"/>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430</w:t>
            </w:r>
          </w:p>
        </w:tc>
        <w:tc>
          <w:tcPr>
            <w:tcW w:w="1560" w:type="dxa"/>
            <w:gridSpan w:val="2"/>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580" w:type="dxa"/>
            <w:gridSpan w:val="2"/>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3732"/>
        <w:gridCol w:w="720"/>
        <w:gridCol w:w="1180"/>
        <w:gridCol w:w="1180"/>
        <w:gridCol w:w="1180"/>
        <w:gridCol w:w="1260"/>
      </w:tblGrid>
      <w:tr w:rsidR="00B20811" w:rsidRPr="00C76478">
        <w:tc>
          <w:tcPr>
            <w:tcW w:w="9252" w:type="dxa"/>
            <w:gridSpan w:val="6"/>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Финансовые вложения</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23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Долгосрочные</w:t>
            </w:r>
          </w:p>
        </w:tc>
        <w:tc>
          <w:tcPr>
            <w:tcW w:w="244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Краткосрочные</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 начало отчетного года</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 конец отчетного периода</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 начало отчетного года</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на конец отчетного периода</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6</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Вклады в уставные (складочные) капиталы других организаций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510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дочерних и зависимых хозяйственных обществ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511</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Государственные и муниципальные ценные бумаги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515</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Ценные бумаги других организаций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520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долговые ценные бумаги (облигации, векселя)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Предоставленные займы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525</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Депозитные вклады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530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535</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540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Из общей суммы финансовые вложения, имеющие текущую рыночную стоимость:</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Вклады в уставные (складочные) капиталы других организаций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дочерних и зависимых хозяйственных обществ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Государственные и муниципальные ценные бумаги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Ценные бумаги других организаций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долговые ценные бумаги (облигации, векселя)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СПРАВОЧНО.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 финансовым вложениям, имеющим текущую рыночную стоимость, изменение стоимости в результате корректировки оценки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580</w:t>
            </w: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По долговым ценным бумагам разница между первоначальной стоимостью и номинальной стоимостью отнесена на финансовый результат отчетного периода</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590</w:t>
            </w: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5392"/>
        <w:gridCol w:w="720"/>
        <w:gridCol w:w="1560"/>
        <w:gridCol w:w="1580"/>
      </w:tblGrid>
      <w:tr w:rsidR="00B20811" w:rsidRPr="00C76478">
        <w:tc>
          <w:tcPr>
            <w:tcW w:w="9252" w:type="dxa"/>
            <w:gridSpan w:val="4"/>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Дебиторская и кредиторская задолженность</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Остаток на начало отчетного года</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Остаток на конец отчетного периода</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Дебиторская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краткосрочная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расчеты с покупателями и заказчиками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611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авансы выданные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612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прочая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613</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долгосрочная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расчеты с покупателями и заказчиками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621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авансы выданные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622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прочая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623</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630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Кредиторская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краткосрочная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640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расчеты с поставщиками и подрядчиками</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641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авансы полученные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642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расчеты по налогам и сборам</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643</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кредиты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644</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займы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645</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прочая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646</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долгосрочная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650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кредиты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займы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ИТОГО</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5392"/>
        <w:gridCol w:w="720"/>
        <w:gridCol w:w="1560"/>
        <w:gridCol w:w="1580"/>
      </w:tblGrid>
      <w:tr w:rsidR="00B20811" w:rsidRPr="00C76478">
        <w:tc>
          <w:tcPr>
            <w:tcW w:w="9252" w:type="dxa"/>
            <w:gridSpan w:val="4"/>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Расходы по обычным видам деятельности (по элементам затрат)</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За отчетный год</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За предыдущий год</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Материальные затраты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710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Затраты на оплату труда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720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Отчисления на социальные нужды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730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Амортизация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740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Прочие затраты</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750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Итого по элементам затрат</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760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Изменение остатков (прирост [+], уменьшение [–]):</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незавершенного производства</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760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расходов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766</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резерв предстоящих расходов</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767</w:t>
            </w:r>
          </w:p>
        </w:tc>
        <w:tc>
          <w:tcPr>
            <w:tcW w:w="156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5392"/>
        <w:gridCol w:w="720"/>
        <w:gridCol w:w="1560"/>
        <w:gridCol w:w="1580"/>
      </w:tblGrid>
      <w:tr w:rsidR="00B20811" w:rsidRPr="00C76478">
        <w:tc>
          <w:tcPr>
            <w:tcW w:w="9252" w:type="dxa"/>
            <w:gridSpan w:val="4"/>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Обеспечения</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Остаток на начало отчетного года</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Остаток на конец отчетного периода</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Полученные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810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векселя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811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Имущество, находящееся в залоге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820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из него: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объекты основных средств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821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ценные бумаги и иные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822</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прочее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823</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Выданные – всего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830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векселя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831</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Имущество, переданное в залог</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840</w:t>
            </w: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из него:</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объекты основных средств</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ценные бумаги и иные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прочее</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56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58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Pr>
        <w:pStyle w:val="ThinDelim"/>
      </w:pPr>
    </w:p>
    <w:tbl>
      <w:tblPr>
        <w:tblW w:w="0" w:type="auto"/>
        <w:tblLayout w:type="fixed"/>
        <w:tblCellMar>
          <w:left w:w="72" w:type="dxa"/>
          <w:right w:w="72" w:type="dxa"/>
        </w:tblCellMar>
        <w:tblLook w:val="0000"/>
      </w:tblPr>
      <w:tblGrid>
        <w:gridCol w:w="3732"/>
        <w:gridCol w:w="720"/>
        <w:gridCol w:w="940"/>
        <w:gridCol w:w="240"/>
        <w:gridCol w:w="480"/>
        <w:gridCol w:w="700"/>
        <w:gridCol w:w="860"/>
        <w:gridCol w:w="320"/>
        <w:gridCol w:w="1260"/>
      </w:tblGrid>
      <w:tr w:rsidR="00B20811" w:rsidRPr="00C76478">
        <w:tc>
          <w:tcPr>
            <w:tcW w:w="9252" w:type="dxa"/>
            <w:gridSpan w:val="9"/>
            <w:tcBorders>
              <w:top w:val="double" w:sz="6" w:space="0" w:color="auto"/>
              <w:left w:val="doub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Государственная помощь</w:t>
            </w:r>
          </w:p>
        </w:tc>
      </w:tr>
      <w:tr w:rsidR="00B20811" w:rsidRPr="00C76478">
        <w:tc>
          <w:tcPr>
            <w:tcW w:w="5392" w:type="dxa"/>
            <w:gridSpan w:val="3"/>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Наименование показателя</w:t>
            </w:r>
          </w:p>
        </w:tc>
        <w:tc>
          <w:tcPr>
            <w:tcW w:w="72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Код строки</w:t>
            </w:r>
          </w:p>
        </w:tc>
        <w:tc>
          <w:tcPr>
            <w:tcW w:w="15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За отчетный период</w:t>
            </w:r>
          </w:p>
        </w:tc>
        <w:tc>
          <w:tcPr>
            <w:tcW w:w="158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За аналогичный период предыдущего года</w:t>
            </w:r>
          </w:p>
        </w:tc>
      </w:tr>
      <w:tr w:rsidR="00B20811" w:rsidRPr="00C76478">
        <w:tc>
          <w:tcPr>
            <w:tcW w:w="5392" w:type="dxa"/>
            <w:gridSpan w:val="3"/>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5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58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4</w:t>
            </w:r>
          </w:p>
        </w:tc>
      </w:tr>
      <w:tr w:rsidR="00B20811" w:rsidRPr="00C76478">
        <w:tc>
          <w:tcPr>
            <w:tcW w:w="5392" w:type="dxa"/>
            <w:gridSpan w:val="3"/>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Получено в отчетном году бюджетных средств - всего</w:t>
            </w:r>
          </w:p>
        </w:tc>
        <w:tc>
          <w:tcPr>
            <w:tcW w:w="72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910</w:t>
            </w:r>
          </w:p>
        </w:tc>
        <w:tc>
          <w:tcPr>
            <w:tcW w:w="15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gridSpan w:val="3"/>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в том числе: МОБ резерв</w:t>
            </w:r>
          </w:p>
        </w:tc>
        <w:tc>
          <w:tcPr>
            <w:tcW w:w="72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5392" w:type="dxa"/>
            <w:gridSpan w:val="3"/>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r w:rsidRPr="00C76478">
              <w:rPr>
                <w:rFonts w:eastAsiaTheme="minorEastAsia"/>
              </w:rPr>
              <w:t>целевое пособие - прочие</w:t>
            </w:r>
          </w:p>
        </w:tc>
        <w:tc>
          <w:tcPr>
            <w:tcW w:w="72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6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580" w:type="dxa"/>
            <w:gridSpan w:val="2"/>
            <w:tcBorders>
              <w:top w:val="single" w:sz="6" w:space="0" w:color="auto"/>
              <w:left w:val="single" w:sz="6" w:space="0" w:color="auto"/>
              <w:bottom w:val="single" w:sz="6" w:space="0" w:color="auto"/>
              <w:right w:val="double" w:sz="6" w:space="0" w:color="auto"/>
            </w:tcBorders>
          </w:tcPr>
          <w:p w:rsidR="00B20811" w:rsidRPr="00C76478" w:rsidRDefault="00B20811">
            <w:pPr>
              <w:rPr>
                <w:rFonts w:eastAsiaTheme="minorEastAsia"/>
              </w:rPr>
            </w:pP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rPr>
                <w:rFonts w:eastAsiaTheme="minorEastAsia"/>
              </w:rPr>
            </w:pP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rPr>
                <w:rFonts w:eastAsiaTheme="minorEastAsia"/>
              </w:rPr>
            </w:pP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На начало отчетного периода</w:t>
            </w: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Получено за отчетный период</w:t>
            </w: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Возвращено за отчетный период</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На конец отчетного периода</w:t>
            </w:r>
          </w:p>
        </w:tc>
      </w:tr>
      <w:tr w:rsidR="00B20811" w:rsidRPr="00C76478">
        <w:tc>
          <w:tcPr>
            <w:tcW w:w="3732" w:type="dxa"/>
            <w:tcBorders>
              <w:top w:val="single" w:sz="6" w:space="0" w:color="auto"/>
              <w:left w:val="doub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1</w:t>
            </w:r>
          </w:p>
        </w:tc>
        <w:tc>
          <w:tcPr>
            <w:tcW w:w="720" w:type="dxa"/>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2</w:t>
            </w: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3</w:t>
            </w: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4</w:t>
            </w:r>
          </w:p>
        </w:tc>
        <w:tc>
          <w:tcPr>
            <w:tcW w:w="1180" w:type="dxa"/>
            <w:gridSpan w:val="2"/>
            <w:tcBorders>
              <w:top w:val="single" w:sz="6" w:space="0" w:color="auto"/>
              <w:left w:val="single" w:sz="6" w:space="0" w:color="auto"/>
              <w:bottom w:val="single" w:sz="6" w:space="0" w:color="auto"/>
              <w:right w:val="single" w:sz="6" w:space="0" w:color="auto"/>
            </w:tcBorders>
          </w:tcPr>
          <w:p w:rsidR="00B20811" w:rsidRPr="00C76478" w:rsidRDefault="00B20811">
            <w:pPr>
              <w:jc w:val="center"/>
              <w:rPr>
                <w:rFonts w:eastAsiaTheme="minorEastAsia"/>
              </w:rPr>
            </w:pPr>
            <w:r w:rsidRPr="00C76478">
              <w:rPr>
                <w:rFonts w:eastAsiaTheme="minorEastAsia"/>
              </w:rPr>
              <w:t>5</w:t>
            </w:r>
          </w:p>
        </w:tc>
        <w:tc>
          <w:tcPr>
            <w:tcW w:w="1260" w:type="dxa"/>
            <w:tcBorders>
              <w:top w:val="single" w:sz="6" w:space="0" w:color="auto"/>
              <w:left w:val="single" w:sz="6" w:space="0" w:color="auto"/>
              <w:bottom w:val="single" w:sz="6" w:space="0" w:color="auto"/>
              <w:right w:val="double" w:sz="6" w:space="0" w:color="auto"/>
            </w:tcBorders>
          </w:tcPr>
          <w:p w:rsidR="00B20811" w:rsidRPr="00C76478" w:rsidRDefault="00B20811">
            <w:pPr>
              <w:jc w:val="center"/>
              <w:rPr>
                <w:rFonts w:eastAsiaTheme="minorEastAsia"/>
              </w:rPr>
            </w:pPr>
            <w:r w:rsidRPr="00C76478">
              <w:rPr>
                <w:rFonts w:eastAsiaTheme="minorEastAsia"/>
              </w:rPr>
              <w:t>6</w:t>
            </w:r>
          </w:p>
        </w:tc>
      </w:tr>
      <w:tr w:rsidR="00B20811" w:rsidRPr="00C76478">
        <w:tc>
          <w:tcPr>
            <w:tcW w:w="3732" w:type="dxa"/>
            <w:tcBorders>
              <w:top w:val="single" w:sz="6" w:space="0" w:color="auto"/>
              <w:left w:val="double" w:sz="6" w:space="0" w:color="auto"/>
              <w:bottom w:val="double" w:sz="6" w:space="0" w:color="auto"/>
              <w:right w:val="single" w:sz="6" w:space="0" w:color="auto"/>
            </w:tcBorders>
          </w:tcPr>
          <w:p w:rsidR="00B20811" w:rsidRPr="00C76478" w:rsidRDefault="00B20811">
            <w:pPr>
              <w:rPr>
                <w:rFonts w:eastAsiaTheme="minorEastAsia"/>
              </w:rPr>
            </w:pPr>
            <w:r w:rsidRPr="00C76478">
              <w:rPr>
                <w:rFonts w:eastAsiaTheme="minorEastAsia"/>
              </w:rPr>
              <w:t>Бюджетные кредиты - всего</w:t>
            </w:r>
          </w:p>
        </w:tc>
        <w:tc>
          <w:tcPr>
            <w:tcW w:w="720" w:type="dxa"/>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gridSpan w:val="2"/>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gridSpan w:val="2"/>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180" w:type="dxa"/>
            <w:gridSpan w:val="2"/>
            <w:tcBorders>
              <w:top w:val="single" w:sz="6" w:space="0" w:color="auto"/>
              <w:left w:val="single" w:sz="6" w:space="0" w:color="auto"/>
              <w:bottom w:val="double" w:sz="6" w:space="0" w:color="auto"/>
              <w:right w:val="single" w:sz="6" w:space="0" w:color="auto"/>
            </w:tcBorders>
          </w:tcPr>
          <w:p w:rsidR="00B20811" w:rsidRPr="00C76478" w:rsidRDefault="00B20811">
            <w:pPr>
              <w:rPr>
                <w:rFonts w:eastAsiaTheme="minorEastAsia"/>
              </w:rPr>
            </w:pPr>
          </w:p>
        </w:tc>
        <w:tc>
          <w:tcPr>
            <w:tcW w:w="1260" w:type="dxa"/>
            <w:tcBorders>
              <w:top w:val="single" w:sz="6" w:space="0" w:color="auto"/>
              <w:left w:val="single" w:sz="6" w:space="0" w:color="auto"/>
              <w:bottom w:val="double" w:sz="6" w:space="0" w:color="auto"/>
              <w:right w:val="double" w:sz="6" w:space="0" w:color="auto"/>
            </w:tcBorders>
          </w:tcPr>
          <w:p w:rsidR="00B20811" w:rsidRPr="00C76478" w:rsidRDefault="00B20811">
            <w:pPr>
              <w:rPr>
                <w:rFonts w:eastAsiaTheme="minorEastAsia"/>
              </w:rPr>
            </w:pPr>
          </w:p>
        </w:tc>
      </w:tr>
    </w:tbl>
    <w:p w:rsidR="00B20811" w:rsidRDefault="00B20811"/>
    <w:p w:rsidR="00B20811" w:rsidRDefault="00B20811"/>
    <w:p w:rsidR="00B20811" w:rsidRDefault="00B20811">
      <w:pPr>
        <w:pStyle w:val="SubHeading"/>
      </w:pPr>
      <w:r>
        <w:br w:type="page"/>
      </w:r>
      <w:r>
        <w:lastRenderedPageBreak/>
        <w:t>Пояснительная записка</w:t>
      </w:r>
    </w:p>
    <w:p w:rsidR="00B20811" w:rsidRDefault="00B20811">
      <w:pPr>
        <w:ind w:left="200"/>
      </w:pPr>
    </w:p>
    <w:p w:rsidR="00B20811" w:rsidRDefault="00B20811">
      <w:pPr>
        <w:pStyle w:val="SubHeading"/>
      </w:pPr>
      <w:r>
        <w:t>Аудиторское заключение</w:t>
      </w:r>
    </w:p>
    <w:p w:rsidR="00B20811" w:rsidRDefault="00B20811">
      <w:pPr>
        <w:ind w:left="200"/>
      </w:pPr>
    </w:p>
    <w:p w:rsidR="00B20811" w:rsidRDefault="00B20811"/>
    <w:p w:rsidR="00D90A49" w:rsidRDefault="00D90A49" w:rsidP="00756272">
      <w:pPr>
        <w:pStyle w:val="2"/>
      </w:pPr>
      <w:r>
        <w:t>7.3. Сводная бухгалтерская отчетность эмитента за последний завершенный финансовый год</w:t>
      </w:r>
    </w:p>
    <w:p w:rsidR="00D90A49" w:rsidRDefault="00D90A49" w:rsidP="00756272">
      <w:r>
        <w:rPr>
          <w:rStyle w:val="Subst"/>
        </w:rPr>
        <w:t>Эмитент не составляет сводную (консолидированную) бухгалтерскую отчетность</w:t>
      </w:r>
    </w:p>
    <w:p w:rsidR="00B20811" w:rsidRDefault="00D90A49" w:rsidP="00756272">
      <w:pPr>
        <w:pStyle w:val="SubHeading"/>
      </w:pPr>
      <w:r>
        <w:t>Основание, в силу которого эмитент не обязан составлять сводную (консолидированную) бухгалтерскую отчетность:</w:t>
      </w:r>
      <w:r>
        <w:br/>
      </w:r>
      <w:r>
        <w:rPr>
          <w:rStyle w:val="Subst"/>
        </w:rPr>
        <w:t>ООО "Далур-Финанс" не имеет обособленных с</w:t>
      </w:r>
      <w:r w:rsidR="00A00EFB">
        <w:rPr>
          <w:rStyle w:val="Subst"/>
        </w:rPr>
        <w:t>т</w:t>
      </w:r>
      <w:r>
        <w:rPr>
          <w:rStyle w:val="Subst"/>
        </w:rPr>
        <w:t>руктурных подразделений</w:t>
      </w:r>
    </w:p>
    <w:p w:rsidR="00B20811" w:rsidRDefault="00B20811">
      <w:pPr>
        <w:pStyle w:val="2"/>
      </w:pPr>
      <w:r>
        <w:t>7.4. Сведения об учетной политике эмитента</w:t>
      </w:r>
    </w:p>
    <w:p w:rsidR="00B20811" w:rsidRDefault="00B20811">
      <w:pPr>
        <w:ind w:left="200"/>
      </w:pPr>
      <w:r>
        <w:rPr>
          <w:rStyle w:val="Subst"/>
        </w:rPr>
        <w:t>Изменений нет</w:t>
      </w:r>
    </w:p>
    <w:p w:rsidR="00B20811" w:rsidRDefault="00B20811">
      <w:pPr>
        <w:pStyle w:val="2"/>
      </w:pPr>
      <w:r>
        <w:t>7.5. Сведения об общей сумме экспорта, а также о доле, которую составляет экспорт в общем объеме продаж</w:t>
      </w:r>
    </w:p>
    <w:p w:rsidR="00B20811" w:rsidRDefault="00B20811">
      <w:pPr>
        <w:ind w:left="200"/>
      </w:pPr>
      <w:r>
        <w:rPr>
          <w:rStyle w:val="Subst"/>
        </w:rPr>
        <w:t>Эмитент не осуществляет экспорт продукции (товаров, работ, услуг)</w:t>
      </w:r>
    </w:p>
    <w:p w:rsidR="00B20811" w:rsidRDefault="00B20811">
      <w:pPr>
        <w:pStyle w:val="2"/>
      </w:pPr>
      <w:r>
        <w:t>7.6. 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p>
    <w:p w:rsidR="00B20811" w:rsidRDefault="00B20811">
      <w:pPr>
        <w:ind w:left="200"/>
      </w:pPr>
      <w:r>
        <w:t>Общая стоимость недвижимого имущества на дату окончания отчетного квартала, руб.:</w:t>
      </w:r>
      <w:r>
        <w:rPr>
          <w:rStyle w:val="Subst"/>
        </w:rPr>
        <w:t xml:space="preserve"> 0</w:t>
      </w:r>
    </w:p>
    <w:p w:rsidR="00B20811" w:rsidRDefault="00B20811">
      <w:pPr>
        <w:ind w:left="200"/>
      </w:pPr>
      <w:r>
        <w:t>Величина начисленной амортизации на дату окончания отчетного квартала, руб.:</w:t>
      </w:r>
      <w:r>
        <w:rPr>
          <w:rStyle w:val="Subst"/>
        </w:rPr>
        <w:t xml:space="preserve"> 0</w:t>
      </w:r>
    </w:p>
    <w:p w:rsidR="00B20811" w:rsidRDefault="00B20811">
      <w:pPr>
        <w:pStyle w:val="SubHeading"/>
        <w:ind w:left="200"/>
      </w:pPr>
      <w:r>
        <w:t>Сведения о существенных изменениях в составе недвижимого имущества эмитента, произошедшие в течение 12 месяцев до даты окончания отчетного квартала</w:t>
      </w:r>
    </w:p>
    <w:p w:rsidR="00B20811" w:rsidRDefault="00B20811">
      <w:pPr>
        <w:ind w:left="400"/>
      </w:pPr>
      <w:r>
        <w:rPr>
          <w:rStyle w:val="Subst"/>
        </w:rPr>
        <w:t>Существенных изменений в составе недвижимого имущества в течении 12 месяцев до даты окончания отчетного квартала не было</w:t>
      </w:r>
    </w:p>
    <w:p w:rsidR="00B20811" w:rsidRDefault="00B20811">
      <w:pPr>
        <w:ind w:left="200"/>
      </w:pPr>
      <w:r>
        <w:t>Сведения о любых приобретениях или выбытии по любым основаниям любого иного имущества эмитента, если балансовая стоимость такого имущества превышает 5 процентов балансовой стоимости активов эмитента, а также сведения о любых иных существенных для эмитента изменениях, произошедших в составе иного имущества эмитента после даты окончания последнего завершенного финансового года до даты окончания отчетного квартала:</w:t>
      </w:r>
      <w:r>
        <w:br/>
      </w:r>
    </w:p>
    <w:p w:rsidR="00B20811" w:rsidRDefault="00B20811">
      <w:pPr>
        <w:ind w:left="400"/>
      </w:pPr>
      <w:r>
        <w:rPr>
          <w:rStyle w:val="Subst"/>
        </w:rPr>
        <w:t>Указанных изменений не было</w:t>
      </w:r>
    </w:p>
    <w:p w:rsidR="00B20811" w:rsidRDefault="00B20811">
      <w:pPr>
        <w:pStyle w:val="2"/>
      </w:pPr>
      <w: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p>
    <w:p w:rsidR="00B20811" w:rsidRDefault="00B20811">
      <w:pPr>
        <w:ind w:left="200"/>
      </w:pPr>
      <w:r>
        <w:rPr>
          <w:rStyle w:val="Subst"/>
        </w:rPr>
        <w:t>Эмитент не участвовал/не участвует в судебных процессах, которые отразились/могут отразиться на финансово-хозяйственной деятельности, в течение трех лет, предшествующих дате окончания отчетного квартала</w:t>
      </w:r>
    </w:p>
    <w:p w:rsidR="00B20811" w:rsidRDefault="00B20811">
      <w:pPr>
        <w:pStyle w:val="1"/>
      </w:pPr>
      <w:r>
        <w:t>VIII. Дополнительные сведения об эмитенте и о размещенных им эмиссионных ценных бумагах</w:t>
      </w:r>
    </w:p>
    <w:p w:rsidR="00B20811" w:rsidRDefault="00B20811">
      <w:pPr>
        <w:pStyle w:val="2"/>
      </w:pPr>
      <w:r>
        <w:t>8.1. Дополнительные сведения об эмитенте</w:t>
      </w:r>
    </w:p>
    <w:p w:rsidR="00B20811" w:rsidRDefault="00B20811">
      <w:pPr>
        <w:pStyle w:val="2"/>
      </w:pPr>
      <w:r>
        <w:t>8.1.1. Сведения о размере, структуре уставного (складочного) капитала (паевого фонда) эмитента</w:t>
      </w:r>
    </w:p>
    <w:p w:rsidR="00B20811" w:rsidRDefault="00B20811">
      <w:pPr>
        <w:ind w:left="200"/>
      </w:pPr>
      <w:r>
        <w:lastRenderedPageBreak/>
        <w:t>Размер уставного (складочного) капитала (паевого фонда) эмитента на дату окончания последнего отчетного квартала, руб.:</w:t>
      </w:r>
      <w:r>
        <w:rPr>
          <w:rStyle w:val="Subst"/>
        </w:rPr>
        <w:t xml:space="preserve"> 250 000</w:t>
      </w:r>
    </w:p>
    <w:p w:rsidR="00B20811" w:rsidRDefault="00B20811">
      <w:pPr>
        <w:pStyle w:val="SubHeading"/>
        <w:ind w:left="200"/>
      </w:pPr>
      <w:r>
        <w:t>Размер долей участников общества</w:t>
      </w:r>
    </w:p>
    <w:p w:rsidR="00B20811" w:rsidRDefault="00B20811">
      <w:pPr>
        <w:ind w:left="400"/>
      </w:pPr>
      <w:r>
        <w:t>Полное фирменное наименование:</w:t>
      </w:r>
      <w:r>
        <w:rPr>
          <w:rStyle w:val="Subst"/>
        </w:rPr>
        <w:t xml:space="preserve"> Закрытое акционерное общество "Далур"</w:t>
      </w:r>
    </w:p>
    <w:p w:rsidR="00B20811" w:rsidRDefault="00B20811">
      <w:pPr>
        <w:pStyle w:val="SubHeading"/>
        <w:ind w:left="400"/>
      </w:pPr>
      <w:r>
        <w:t>Место нахождения</w:t>
      </w:r>
    </w:p>
    <w:p w:rsidR="00B20811" w:rsidRDefault="00B20811">
      <w:pPr>
        <w:ind w:left="600"/>
      </w:pPr>
      <w:r>
        <w:rPr>
          <w:rStyle w:val="Subst"/>
        </w:rPr>
        <w:t>641750 Россия, Курганская область, Далматовский район, село Уксянское, Ленина 42</w:t>
      </w:r>
    </w:p>
    <w:p w:rsidR="00B20811" w:rsidRDefault="00B20811">
      <w:pPr>
        <w:ind w:left="400"/>
      </w:pPr>
      <w:r>
        <w:t>ИНН:</w:t>
      </w:r>
      <w:r>
        <w:rPr>
          <w:rStyle w:val="Subst"/>
        </w:rPr>
        <w:t xml:space="preserve"> 4506004751</w:t>
      </w:r>
    </w:p>
    <w:p w:rsidR="00B20811" w:rsidRDefault="00B20811">
      <w:pPr>
        <w:ind w:left="400"/>
      </w:pPr>
      <w:r>
        <w:t>ОГРН:</w:t>
      </w:r>
      <w:r>
        <w:rPr>
          <w:rStyle w:val="Subst"/>
        </w:rPr>
        <w:t xml:space="preserve"> 1024501452140</w:t>
      </w:r>
    </w:p>
    <w:p w:rsidR="00B20811" w:rsidRDefault="00B20811">
      <w:pPr>
        <w:ind w:left="400"/>
      </w:pPr>
      <w:r>
        <w:t>Доля участника в устаном капитале эмитента, %:</w:t>
      </w:r>
      <w:r>
        <w:rPr>
          <w:rStyle w:val="Subst"/>
        </w:rPr>
        <w:t xml:space="preserve"> 100</w:t>
      </w:r>
    </w:p>
    <w:p w:rsidR="00B20811" w:rsidRDefault="00B20811">
      <w:pPr>
        <w:ind w:left="400"/>
      </w:pPr>
    </w:p>
    <w:p w:rsidR="00B20811" w:rsidRDefault="00B20811">
      <w:pPr>
        <w:pStyle w:val="2"/>
      </w:pPr>
      <w:r>
        <w:t>8.1.2. Сведения об изменении размера уставного (складочного) капитала (паевого фонда) эмитента</w:t>
      </w:r>
    </w:p>
    <w:p w:rsidR="00B20811" w:rsidRDefault="00B20811">
      <w:pPr>
        <w:ind w:left="200"/>
      </w:pPr>
      <w:r>
        <w:rPr>
          <w:rStyle w:val="Subst"/>
        </w:rPr>
        <w:t>Изменений размера УК за данный период не было</w:t>
      </w:r>
    </w:p>
    <w:p w:rsidR="00B20811" w:rsidRDefault="00B20811">
      <w:pPr>
        <w:pStyle w:val="2"/>
      </w:pPr>
      <w:r>
        <w:t>8.1.3. Сведения о формировании и об использовании резервного фонда, а также иных фондов эмитента</w:t>
      </w:r>
    </w:p>
    <w:p w:rsidR="00B20811" w:rsidRDefault="00B20811">
      <w:pPr>
        <w:pStyle w:val="SubHeading"/>
        <w:ind w:left="200"/>
      </w:pPr>
      <w:r>
        <w:t>За отчетный квартал</w:t>
      </w:r>
    </w:p>
    <w:p w:rsidR="00B20811" w:rsidRDefault="00B20811">
      <w:pPr>
        <w:ind w:left="400"/>
      </w:pPr>
      <w:r>
        <w:rPr>
          <w:rStyle w:val="Subst"/>
        </w:rPr>
        <w:t>Указанных фондов нет</w:t>
      </w:r>
    </w:p>
    <w:p w:rsidR="00B20811" w:rsidRDefault="00B20811">
      <w:pPr>
        <w:pStyle w:val="2"/>
      </w:pPr>
      <w:r>
        <w:t>8.1.4. Сведения о порядке созыва и проведения собрания (заседания) высшего органа управления эмитента</w:t>
      </w:r>
    </w:p>
    <w:p w:rsidR="00B20811" w:rsidRDefault="00B20811">
      <w:pPr>
        <w:ind w:left="200"/>
      </w:pPr>
      <w:r>
        <w:t>Наименование высшего органа управления эмитента:</w:t>
      </w:r>
      <w:r>
        <w:rPr>
          <w:rStyle w:val="Subst"/>
        </w:rPr>
        <w:t xml:space="preserve"> общее собрание участников</w:t>
      </w:r>
    </w:p>
    <w:p w:rsidR="00B20811" w:rsidRDefault="00B20811">
      <w:pPr>
        <w:ind w:left="200"/>
      </w:pPr>
      <w:r>
        <w:t>Порядок уведомления акционеров (участников) о проведении собрания (заседания) высшего органа управления эмитента:</w:t>
      </w:r>
      <w:r>
        <w:br/>
      </w:r>
      <w:r>
        <w:rPr>
          <w:rStyle w:val="Subst"/>
        </w:rPr>
        <w:t>соответствии со статьей 9  Устава:</w:t>
      </w:r>
      <w:r>
        <w:rPr>
          <w:rStyle w:val="Subst"/>
        </w:rPr>
        <w:br/>
        <w:t>9.11.  Генеральный директор Общества созывает Общее собрание посредством письменного уведомления Участников  Общества (заказным письмом или под расписку) с указанием времени и места проведения и предлагаемой повестки дня заседания, а также обеспечивает участников Общества всеми необходимыми для проведения Общего собрания документами не позднее, чем за 30 дней до назначения даты проведения Общего собрания.</w:t>
      </w:r>
    </w:p>
    <w:p w:rsidR="00B20811" w:rsidRDefault="00B20811">
      <w:pPr>
        <w:ind w:left="200"/>
      </w:pPr>
      <w:r>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r>
        <w:br/>
      </w:r>
      <w:r>
        <w:rPr>
          <w:rStyle w:val="Subst"/>
        </w:rPr>
        <w:t>в соответствии со статьей 9 Устава:</w:t>
      </w:r>
      <w:r>
        <w:rPr>
          <w:rStyle w:val="Subst"/>
        </w:rPr>
        <w:br/>
        <w:t xml:space="preserve">9.10. Общие годовые собрания созывает Генеральный  директор Общества. </w:t>
      </w:r>
      <w:r>
        <w:rPr>
          <w:rStyle w:val="Subst"/>
        </w:rPr>
        <w:br/>
        <w:t>Внеочередные собрания созываются Генеральный директором Общества: по его инициативе, по требованию Ревизора Общества, аудитора Общества либо участника Общества.</w:t>
      </w:r>
      <w:r>
        <w:rPr>
          <w:rStyle w:val="Subst"/>
        </w:rPr>
        <w:br/>
        <w:t>В случае, если в течение 5 дней с момента получения требования о проведении внеочередного Общего собрания Участников Генеральный директор не принимает решения о его проведении или принимает решение об отказе в его проведении, то внеочередное Общее собрание Участников может быть созвано органами или лицами, требующими его проведения.</w:t>
      </w:r>
    </w:p>
    <w:p w:rsidR="00B20811" w:rsidRDefault="00B20811">
      <w:pPr>
        <w:ind w:left="200"/>
      </w:pPr>
      <w:r>
        <w:t>Порядок определения даты проведения собрания (заседания) высшего органа управления эмитента:</w:t>
      </w:r>
      <w:r>
        <w:br/>
      </w:r>
      <w:r>
        <w:rPr>
          <w:rStyle w:val="Subst"/>
        </w:rPr>
        <w:t>соответствии со статьей 9  Устава:</w:t>
      </w:r>
      <w:r>
        <w:rPr>
          <w:rStyle w:val="Subst"/>
        </w:rPr>
        <w:br/>
        <w:t>9.11.  Генеральный директор Общества созывает Общее собрание посредством письменного уведомления Участников  Общества (заказным письмом или под расписку) с указанием времени и места проведения и предлагаемой повестки дня заседания, а также обеспечивает участников Общества всеми необходимыми для проведения Общего собрания документами не позднее, чем за 30 дней до назначения даты проведения Общего собрания.</w:t>
      </w:r>
      <w:r>
        <w:rPr>
          <w:rStyle w:val="Subst"/>
        </w:rPr>
        <w:br/>
      </w:r>
    </w:p>
    <w:p w:rsidR="00B20811" w:rsidRDefault="00B20811">
      <w:pPr>
        <w:ind w:left="200"/>
      </w:pPr>
      <w:r>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r>
        <w:br/>
      </w:r>
      <w:r>
        <w:rPr>
          <w:rStyle w:val="Subst"/>
        </w:rPr>
        <w:t>очередное собрание участников:</w:t>
      </w:r>
      <w:r>
        <w:rPr>
          <w:rStyle w:val="Subst"/>
        </w:rPr>
        <w:br/>
        <w:t xml:space="preserve"> - генеральный директор Общества.</w:t>
      </w:r>
      <w:r>
        <w:rPr>
          <w:rStyle w:val="Subst"/>
        </w:rPr>
        <w:br/>
        <w:t>Внеочередное общее собрание участников:</w:t>
      </w:r>
      <w:r>
        <w:rPr>
          <w:rStyle w:val="Subst"/>
        </w:rPr>
        <w:br/>
        <w:t>- генеральный директор Общества;</w:t>
      </w:r>
      <w:r>
        <w:rPr>
          <w:rStyle w:val="Subst"/>
        </w:rPr>
        <w:br/>
      </w:r>
      <w:r>
        <w:rPr>
          <w:rStyle w:val="Subst"/>
        </w:rPr>
        <w:lastRenderedPageBreak/>
        <w:t xml:space="preserve"> - ревизор Общества;</w:t>
      </w:r>
      <w:r>
        <w:rPr>
          <w:rStyle w:val="Subst"/>
        </w:rPr>
        <w:br/>
        <w:t xml:space="preserve"> - аудитор Общества;</w:t>
      </w:r>
      <w:r>
        <w:rPr>
          <w:rStyle w:val="Subst"/>
        </w:rPr>
        <w:br/>
        <w:t xml:space="preserve"> - участник Общества.</w:t>
      </w:r>
    </w:p>
    <w:p w:rsidR="00B20811" w:rsidRDefault="00B20811">
      <w:pPr>
        <w:ind w:left="200"/>
      </w:pPr>
      <w:r>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r>
        <w:br/>
      </w:r>
      <w:r>
        <w:rPr>
          <w:rStyle w:val="Subst"/>
        </w:rPr>
        <w:t>исполнительный орган Общества, созывающий общее собрание участников Общества, обязан направить участникам общества информацию и материалы вместе с уведомлением о проведении общего собрания участников Общества, а в случае изменения повестки дня соответствующие материалы и информация направляются вместе с уведомлением о таком изменении.</w:t>
      </w:r>
      <w:r>
        <w:rPr>
          <w:rStyle w:val="Subst"/>
        </w:rPr>
        <w:br/>
        <w:t>Указанные материалы и информация в течение тридцати дней до проведения общего собрания участников Общества должны быть представлены всем участникам Общества для ознакомления в помещении исполнительного органа Общества. Общество обязано по требованию участника Общества представить ему копии указанных документов.</w:t>
      </w:r>
    </w:p>
    <w:p w:rsidR="00B20811" w:rsidRDefault="00B20811">
      <w:pPr>
        <w:ind w:left="200"/>
      </w:pPr>
      <w:r>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r>
        <w:br/>
      </w:r>
      <w:r>
        <w:rPr>
          <w:rStyle w:val="Subst"/>
        </w:rPr>
        <w:t>В соответствии со статьей 9  Устава:</w:t>
      </w:r>
      <w:r>
        <w:rPr>
          <w:rStyle w:val="Subst"/>
        </w:rPr>
        <w:br/>
        <w:t>9.16. Решения Общего собрания оформляются протоколом, ведение которого осуществляет единоличный исполнительный орган Общества. Книга протоколов собрания должна быть в любое время представлена участникам Общества. По их требованию выдаются удостоверенные генеральным директором Общества  выписки из книги протоколов.</w:t>
      </w:r>
    </w:p>
    <w:p w:rsidR="00B20811" w:rsidRDefault="00B20811">
      <w:pPr>
        <w:pStyle w:val="2"/>
      </w:pPr>
      <w:r>
        <w:t>8.1.5.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p>
    <w:p w:rsidR="00B20811" w:rsidRDefault="00B20811">
      <w:pPr>
        <w:ind w:left="200"/>
      </w:pPr>
      <w:r>
        <w:rPr>
          <w:rStyle w:val="Subst"/>
        </w:rPr>
        <w:t>Указанных организаций нет</w:t>
      </w:r>
    </w:p>
    <w:p w:rsidR="00B20811" w:rsidRDefault="00B20811">
      <w:pPr>
        <w:pStyle w:val="2"/>
      </w:pPr>
      <w:r>
        <w:t>8.1.6. Сведения о существенных сделках, совершенных эмитентом</w:t>
      </w:r>
    </w:p>
    <w:p w:rsidR="00B20811" w:rsidRDefault="00B20811">
      <w:pPr>
        <w:pStyle w:val="SubHeading"/>
        <w:ind w:left="200"/>
      </w:pPr>
      <w:r>
        <w:t>За отчетный квартал</w:t>
      </w:r>
    </w:p>
    <w:p w:rsidR="00B20811" w:rsidRDefault="00B20811">
      <w:pPr>
        <w:ind w:left="400"/>
      </w:pPr>
      <w:r>
        <w:rPr>
          <w:rStyle w:val="Subst"/>
        </w:rPr>
        <w:t>Указанные сделки в течение данного периода не совершались</w:t>
      </w:r>
    </w:p>
    <w:p w:rsidR="00B20811" w:rsidRDefault="00B20811">
      <w:pPr>
        <w:pStyle w:val="2"/>
      </w:pPr>
      <w:r>
        <w:t>8.1.7. Сведения о кредитных рейтингах эмитента</w:t>
      </w:r>
    </w:p>
    <w:p w:rsidR="00B20811" w:rsidRDefault="00B20811">
      <w:pPr>
        <w:ind w:left="200"/>
      </w:pPr>
      <w:r>
        <w:rPr>
          <w:rStyle w:val="Subst"/>
        </w:rPr>
        <w:t>Известных эмитенту кредитных рейтингов нет</w:t>
      </w:r>
    </w:p>
    <w:p w:rsidR="00B20811" w:rsidRDefault="00B20811">
      <w:pPr>
        <w:pStyle w:val="2"/>
      </w:pPr>
      <w:r>
        <w:t>8.2. Сведения о каждой категории (типе) акций эмитента</w:t>
      </w:r>
    </w:p>
    <w:p w:rsidR="00B20811" w:rsidRDefault="00B20811">
      <w:pPr>
        <w:ind w:left="200"/>
      </w:pPr>
      <w:r>
        <w:t>Не указывается эмитентами, не являющимися акционерными обществами</w:t>
      </w:r>
    </w:p>
    <w:p w:rsidR="00B20811" w:rsidRDefault="00B20811">
      <w:pPr>
        <w:pStyle w:val="2"/>
      </w:pPr>
      <w:r>
        <w:t>8.3. Сведения о предыдущих выпусках эмиссионных ценных бумаг эмитента, за исключением акций эмитента</w:t>
      </w:r>
    </w:p>
    <w:p w:rsidR="00B20811" w:rsidRDefault="00B20811">
      <w:pPr>
        <w:pStyle w:val="2"/>
      </w:pPr>
      <w:r>
        <w:t>8.3.1. Сведения о выпусках, все ценные бумаги которых погашены (аннулированы)</w:t>
      </w:r>
    </w:p>
    <w:p w:rsidR="00B20811" w:rsidRDefault="00B20811">
      <w:pPr>
        <w:ind w:left="200"/>
      </w:pPr>
      <w:r>
        <w:rPr>
          <w:rStyle w:val="Subst"/>
        </w:rPr>
        <w:t>Указанных выпусков нет</w:t>
      </w:r>
    </w:p>
    <w:p w:rsidR="00B20811" w:rsidRDefault="00B20811">
      <w:pPr>
        <w:pStyle w:val="2"/>
      </w:pPr>
      <w:r>
        <w:t>8.3.2. Сведения о выпусках, ценные бумаги которых находятся в обращении</w:t>
      </w:r>
    </w:p>
    <w:p w:rsidR="00B20811" w:rsidRDefault="00B20811">
      <w:pPr>
        <w:ind w:left="200"/>
      </w:pPr>
      <w:r>
        <w:t>Вид ценной бумаги:</w:t>
      </w:r>
      <w:r>
        <w:rPr>
          <w:rStyle w:val="Subst"/>
        </w:rPr>
        <w:t xml:space="preserve"> облигации</w:t>
      </w:r>
    </w:p>
    <w:p w:rsidR="00B20811" w:rsidRDefault="00B20811">
      <w:pPr>
        <w:ind w:left="200"/>
      </w:pPr>
      <w:r>
        <w:t>Форма ценной бумаги:</w:t>
      </w:r>
      <w:r>
        <w:rPr>
          <w:rStyle w:val="Subst"/>
        </w:rPr>
        <w:t xml:space="preserve"> документарные на предъявителя</w:t>
      </w:r>
    </w:p>
    <w:p w:rsidR="00B20811" w:rsidRDefault="00B20811">
      <w:pPr>
        <w:ind w:left="200"/>
      </w:pPr>
      <w:r>
        <w:t>Серия:</w:t>
      </w:r>
      <w:r>
        <w:rPr>
          <w:rStyle w:val="Subst"/>
        </w:rPr>
        <w:t xml:space="preserve"> 01</w:t>
      </w:r>
    </w:p>
    <w:p w:rsidR="00B20811" w:rsidRDefault="007B24D4">
      <w:pPr>
        <w:ind w:left="200"/>
      </w:pPr>
      <w:r>
        <w:rPr>
          <w:rStyle w:val="Subst"/>
        </w:rPr>
        <w:t>неконвертируемые</w:t>
      </w:r>
      <w:r w:rsidR="00B20811">
        <w:rPr>
          <w:rStyle w:val="Subst"/>
        </w:rPr>
        <w:t xml:space="preserve"> процентные</w:t>
      </w:r>
    </w:p>
    <w:p w:rsidR="00B20811" w:rsidRDefault="00B20811">
      <w:pPr>
        <w:pStyle w:val="ThinDelim"/>
      </w:pPr>
    </w:p>
    <w:p w:rsidR="00B20811" w:rsidRDefault="00B20811">
      <w:pPr>
        <w:ind w:left="200"/>
      </w:pPr>
      <w:r>
        <w:rPr>
          <w:rStyle w:val="Subst"/>
        </w:rPr>
        <w:t>Предусмотрено обязательное централизованное хранение ценных бумаг выпуска</w:t>
      </w:r>
    </w:p>
    <w:p w:rsidR="00B20811" w:rsidRDefault="00B20811">
      <w:pPr>
        <w:pStyle w:val="SubHeading"/>
        <w:ind w:left="200"/>
      </w:pPr>
      <w:r>
        <w:t>Сведения о депозитарии, осуществляющем централизованное хранение ценных бумаг выпуска</w:t>
      </w:r>
    </w:p>
    <w:p w:rsidR="00B20811" w:rsidRDefault="00B20811">
      <w:pPr>
        <w:ind w:left="400"/>
      </w:pPr>
      <w:r>
        <w:t>Полное фирменное наименование:</w:t>
      </w:r>
      <w:r>
        <w:rPr>
          <w:rStyle w:val="Subst"/>
        </w:rPr>
        <w:t xml:space="preserve"> Закрытое акционерное общество "Национальный депозитарный центр"</w:t>
      </w:r>
    </w:p>
    <w:p w:rsidR="00B20811" w:rsidRDefault="00B20811">
      <w:pPr>
        <w:ind w:left="400"/>
      </w:pPr>
      <w:r>
        <w:t>Сокращенное фирменное наименование:</w:t>
      </w:r>
      <w:r>
        <w:rPr>
          <w:rStyle w:val="Subst"/>
        </w:rPr>
        <w:t xml:space="preserve"> ЗАО НДЦ</w:t>
      </w:r>
    </w:p>
    <w:p w:rsidR="00B20811" w:rsidRDefault="00B20811">
      <w:pPr>
        <w:ind w:left="400"/>
      </w:pPr>
      <w:r>
        <w:lastRenderedPageBreak/>
        <w:t>Место нахождения:</w:t>
      </w:r>
      <w:r>
        <w:rPr>
          <w:rStyle w:val="Subst"/>
        </w:rPr>
        <w:t xml:space="preserve"> 125009, г. Москва, Средний Кисловский переулок,</w:t>
      </w:r>
      <w:r w:rsidR="007B24D4">
        <w:rPr>
          <w:rStyle w:val="Subst"/>
        </w:rPr>
        <w:t xml:space="preserve"> </w:t>
      </w:r>
      <w:r>
        <w:rPr>
          <w:rStyle w:val="Subst"/>
        </w:rPr>
        <w:t>д. 1/13, стр. 4.</w:t>
      </w:r>
    </w:p>
    <w:p w:rsidR="00B20811" w:rsidRDefault="00B20811">
      <w:pPr>
        <w:pStyle w:val="SubHeading"/>
        <w:ind w:left="400"/>
      </w:pPr>
      <w:r>
        <w:t>Сведения о лицензии на осуществление депозитарной деятельности</w:t>
      </w:r>
    </w:p>
    <w:p w:rsidR="00B20811" w:rsidRDefault="00B20811">
      <w:pPr>
        <w:ind w:left="600"/>
      </w:pPr>
      <w:r>
        <w:t>Номер:</w:t>
      </w:r>
      <w:r>
        <w:rPr>
          <w:rStyle w:val="Subst"/>
        </w:rPr>
        <w:t xml:space="preserve"> 177-03431-000100</w:t>
      </w:r>
    </w:p>
    <w:p w:rsidR="00B20811" w:rsidRDefault="00B20811">
      <w:pPr>
        <w:ind w:left="600"/>
      </w:pPr>
      <w:r>
        <w:t>Дата выдачи:</w:t>
      </w:r>
      <w:r>
        <w:rPr>
          <w:rStyle w:val="Subst"/>
        </w:rPr>
        <w:t xml:space="preserve"> 04.12.2000</w:t>
      </w:r>
    </w:p>
    <w:p w:rsidR="00B20811" w:rsidRDefault="00B20811">
      <w:pPr>
        <w:ind w:left="600"/>
      </w:pPr>
      <w:r>
        <w:t>Дата окончания действия:</w:t>
      </w:r>
    </w:p>
    <w:p w:rsidR="00B20811" w:rsidRDefault="00B20811">
      <w:pPr>
        <w:ind w:left="800"/>
      </w:pPr>
      <w:r>
        <w:rPr>
          <w:rStyle w:val="Subst"/>
        </w:rPr>
        <w:t>Бессрочная</w:t>
      </w:r>
    </w:p>
    <w:p w:rsidR="00B20811" w:rsidRDefault="00B20811">
      <w:pPr>
        <w:ind w:left="600"/>
      </w:pPr>
      <w:r>
        <w:t>Наименование органа, выдавшего лицензию:</w:t>
      </w:r>
      <w:r>
        <w:rPr>
          <w:rStyle w:val="Subst"/>
        </w:rPr>
        <w:t xml:space="preserve"> ФКЦБ (ФСФР) России</w:t>
      </w:r>
    </w:p>
    <w:p w:rsidR="00B20811" w:rsidRDefault="00B20811">
      <w:pPr>
        <w:ind w:left="200"/>
      </w:pPr>
      <w:r>
        <w:t>Количество ценных бумаг выпуска:</w:t>
      </w:r>
      <w:r>
        <w:rPr>
          <w:rStyle w:val="Subst"/>
        </w:rPr>
        <w:t xml:space="preserve"> 520 000</w:t>
      </w:r>
    </w:p>
    <w:p w:rsidR="00B20811" w:rsidRDefault="00B20811">
      <w:pPr>
        <w:ind w:left="200"/>
      </w:pPr>
      <w:r>
        <w:t>Номинальная стоимость каждой ценной бумаги выпуска, руб.:</w:t>
      </w:r>
      <w:r>
        <w:rPr>
          <w:rStyle w:val="Subst"/>
        </w:rPr>
        <w:t xml:space="preserve"> 1 000</w:t>
      </w:r>
    </w:p>
    <w:p w:rsidR="00B20811" w:rsidRDefault="00B20811">
      <w:pPr>
        <w:ind w:left="200"/>
      </w:pPr>
      <w:r>
        <w:t>Объем выпуска по номинальной стоимости:</w:t>
      </w:r>
      <w:r>
        <w:rPr>
          <w:rStyle w:val="Subst"/>
        </w:rPr>
        <w:t xml:space="preserve"> 520 000 000</w:t>
      </w:r>
    </w:p>
    <w:p w:rsidR="00B20811" w:rsidRDefault="00B20811">
      <w:pPr>
        <w:pStyle w:val="ThinDelim"/>
      </w:pPr>
    </w:p>
    <w:p w:rsidR="00B20811" w:rsidRDefault="00B20811">
      <w:pPr>
        <w:ind w:left="200"/>
      </w:pPr>
      <w:r>
        <w:t>Государственный регистрационный номер выпуска:</w:t>
      </w:r>
      <w:r>
        <w:rPr>
          <w:rStyle w:val="Subst"/>
        </w:rPr>
        <w:t xml:space="preserve"> 4-01-36315-R</w:t>
      </w:r>
    </w:p>
    <w:p w:rsidR="00B20811" w:rsidRDefault="00B20811">
      <w:pPr>
        <w:ind w:left="200"/>
      </w:pPr>
      <w:r>
        <w:t>Дата государственной регистрации выпуска:</w:t>
      </w:r>
      <w:r>
        <w:rPr>
          <w:rStyle w:val="Subst"/>
        </w:rPr>
        <w:t xml:space="preserve"> 12.12.2007</w:t>
      </w:r>
    </w:p>
    <w:p w:rsidR="00B20811" w:rsidRDefault="00B20811">
      <w:pPr>
        <w:ind w:left="200"/>
      </w:pPr>
      <w:r>
        <w:t>Орган, осуществивший государственную регистрацию выпуска:</w:t>
      </w:r>
      <w:r>
        <w:rPr>
          <w:rStyle w:val="Subst"/>
        </w:rPr>
        <w:t xml:space="preserve"> ФСФР России</w:t>
      </w:r>
    </w:p>
    <w:p w:rsidR="00B20811" w:rsidRDefault="00B20811">
      <w:pPr>
        <w:pStyle w:val="ThinDelim"/>
      </w:pPr>
    </w:p>
    <w:p w:rsidR="00B20811" w:rsidRDefault="00B20811">
      <w:pPr>
        <w:ind w:left="200"/>
      </w:pPr>
      <w:r>
        <w:t>Дата государственной регистрации отчета об итогах выпуска:</w:t>
      </w:r>
      <w:r>
        <w:rPr>
          <w:rStyle w:val="Subst"/>
        </w:rPr>
        <w:t xml:space="preserve"> 04.03.2008</w:t>
      </w:r>
    </w:p>
    <w:p w:rsidR="00B20811" w:rsidRDefault="00B20811">
      <w:pPr>
        <w:ind w:left="200"/>
      </w:pPr>
      <w:r>
        <w:t>Орган, осуществивший государственную регистрацию отчета об итогах выпуска:</w:t>
      </w:r>
      <w:r>
        <w:rPr>
          <w:rStyle w:val="Subst"/>
        </w:rPr>
        <w:t xml:space="preserve"> ФСФР России</w:t>
      </w:r>
    </w:p>
    <w:p w:rsidR="00B20811" w:rsidRDefault="00B20811">
      <w:pPr>
        <w:ind w:left="200"/>
      </w:pPr>
      <w:r>
        <w:t>Осуществлялись дополнительные выпуски ценных бумаг:</w:t>
      </w:r>
      <w:r>
        <w:rPr>
          <w:rStyle w:val="Subst"/>
        </w:rPr>
        <w:t xml:space="preserve"> Нет</w:t>
      </w:r>
    </w:p>
    <w:p w:rsidR="00B20811" w:rsidRDefault="00B20811">
      <w:pPr>
        <w:ind w:left="200"/>
      </w:pPr>
      <w:r>
        <w:t>Права, закрепленные каждой ценной бумагой выпуска:</w:t>
      </w:r>
      <w:r>
        <w:br/>
      </w:r>
      <w:r>
        <w:rPr>
          <w:rStyle w:val="Subst"/>
        </w:rPr>
        <w:t>Каждая облигация настоящего выпуска предоставляет ее владельцу одинаковый объем прав.</w:t>
      </w:r>
      <w:r>
        <w:rPr>
          <w:rStyle w:val="Subst"/>
        </w:rPr>
        <w:br/>
      </w:r>
      <w:r>
        <w:rPr>
          <w:rStyle w:val="Subst"/>
        </w:rPr>
        <w:br/>
        <w:t>Владельцы Облигаций имеют право на получение от Эмитента при погашении Облигации в предусмотренный ею срок номинальной стоимости Облигации, а также право на получение фиксированного в ней процента от номинальной стоимости Облигаций (купонного дохода).</w:t>
      </w:r>
      <w:r>
        <w:rPr>
          <w:rStyle w:val="Subst"/>
        </w:rPr>
        <w:br/>
      </w:r>
      <w:r>
        <w:rPr>
          <w:rStyle w:val="Subst"/>
        </w:rPr>
        <w:br/>
        <w:t>Владельцы Облигации имеют право требовать от Эмитента приобретения Облигаций в течение срока,  в случаях и на условиях, предусмотренных Решением о выпуске ценных бумаг и Проспектом ценных бумаг.</w:t>
      </w:r>
      <w:r>
        <w:rPr>
          <w:rStyle w:val="Subst"/>
        </w:rPr>
        <w:br/>
      </w:r>
      <w:r>
        <w:rPr>
          <w:rStyle w:val="Subst"/>
        </w:rPr>
        <w:br/>
        <w:t>По Облигациям выпуска предусмотрено предоставление обеспечения в форме  поручительства.</w:t>
      </w:r>
      <w:r>
        <w:rPr>
          <w:rStyle w:val="Subst"/>
        </w:rPr>
        <w:br/>
        <w:t>В случае неисполнения и/или ненадлежащего исполнения Эмитентом  своих обязательств по выплате номинальной стоимости и купонного дохода по Облигациям выпуска владелец Облигации имеет право обратиться с соответствующим требованием к лицу, предоставившему обеспечение для целей выпуска Облигаций (Поручитель).</w:t>
      </w:r>
      <w:r>
        <w:rPr>
          <w:rStyle w:val="Subst"/>
        </w:rPr>
        <w:br/>
      </w:r>
      <w:r>
        <w:rPr>
          <w:rStyle w:val="Subst"/>
        </w:rPr>
        <w:br/>
        <w:t>Владельцы Облигаций вправе осуществлять иные права, предусмотренные законодательством Российской Федерации.</w:t>
      </w:r>
      <w:r>
        <w:rPr>
          <w:rStyle w:val="Subst"/>
        </w:rPr>
        <w:br/>
      </w:r>
      <w:r>
        <w:rPr>
          <w:rStyle w:val="Subst"/>
        </w:rPr>
        <w:br/>
        <w:t>Права владельцев Облигаций, вытекающие из обеспечения по Облигациям:</w:t>
      </w:r>
      <w:r>
        <w:rPr>
          <w:rStyle w:val="Subst"/>
        </w:rPr>
        <w:br/>
        <w:t>Владельцы Облигаций и/или номинальные держатели (в случае, если права владельца на Облигации учитываются номинальным держателем  и номинальный держатель уполномочен на получение суммы погашения/купонного дохода по Облигациям или сумм от Приобретения Облигаций по требованию их Владельцев,  а также предъявление требования к Поручителю) вправе предъявить Поручителю письменное требование о выплате причитающихся им денежных средств по Облигациям в следующих случаях неисполнения или ненадлежащего исполнения Эмитентом своих обязательств:</w:t>
      </w:r>
      <w:r>
        <w:rPr>
          <w:rStyle w:val="Subst"/>
        </w:rPr>
        <w:br/>
        <w:t xml:space="preserve">- Эмитент не выплатил или выплатил не в полном объеме Владельцам Облигаций купонный доход в виде процентов к номинальной стоимости Облигаций в размере и в сроки, определенные в соответствии с пунктами 9.3.-9.4. Решения о выпуске ценных бумаг и пунктом 9.1.2. Проспекта ценных бумаг; </w:t>
      </w:r>
      <w:r>
        <w:rPr>
          <w:rStyle w:val="Subst"/>
        </w:rPr>
        <w:br/>
        <w:t>- Эмитент не выплатил или выплатил не в полном объеме Владельцам Облигаций основную сумму долга в виде номинальной стоимости Облигаций при их погашении в срок, определенный в соответствии с пунктом 9.2. Решения о выпуске ценных бумаг и пунктом 9.1.2. Проспекта ценных бума;</w:t>
      </w:r>
      <w:r>
        <w:rPr>
          <w:rStyle w:val="Subst"/>
        </w:rPr>
        <w:br/>
        <w:t>- Эмитент не выполнил или выполнил не в полном объеме свои обязательства по приобретению  Облигаций по требованию их Владельцев, в соответствии с пунктом 10. Решения о выпуске ценных бумаг и пунктом 9.1.2. Проспекта ценных бумаг.</w:t>
      </w:r>
      <w:r>
        <w:rPr>
          <w:rStyle w:val="Subst"/>
        </w:rPr>
        <w:br/>
      </w:r>
      <w:r>
        <w:rPr>
          <w:rStyle w:val="Subst"/>
        </w:rPr>
        <w:br/>
      </w:r>
      <w:r>
        <w:rPr>
          <w:rStyle w:val="Subst"/>
        </w:rPr>
        <w:lastRenderedPageBreak/>
        <w:t xml:space="preserve">Оферта Поручителя о предоставлении обеспечения в виде поручительства для целей выпуска Облигаций (далее - Оферта) является публичной и адресована всем потенциальным приобретателям Облигаций и выражает волю Поручителя заключить договор о предоставлении поручительства для целей выпуска Облигаций с любым лицом, акцептовавшим Оферту. Оферта не может быть отозвана в течение срока, установленного для акцепта Оферта. </w:t>
      </w:r>
      <w:r>
        <w:rPr>
          <w:rStyle w:val="Subst"/>
        </w:rPr>
        <w:br/>
        <w:t>Оферта считается полученной адресатом в момент обеспечения Эмитентом всем потенциальным приобретателям Облигаций возможности доступа к информации о выпуске Облигаций, содержащейся в Решении о выпуске ценных бумаг и Проспекте ценных бумаг и подлежащей раскрытию в соответствии с Федеральным законом «О рынке ценных бумаг» и иными  нормативными правовыми актами Российской Федерации.</w:t>
      </w:r>
      <w:r>
        <w:rPr>
          <w:rStyle w:val="Subst"/>
        </w:rPr>
        <w:br/>
        <w:t>Акцепт Оферты производится путем приобретения одной или нескольких Облигаций в порядке,  на условиях и в сроки, определенные  Решением о выпуске ценных бумаг и Проспектом ценных бумаг.</w:t>
      </w:r>
      <w:r>
        <w:rPr>
          <w:rStyle w:val="Subst"/>
        </w:rPr>
        <w:br/>
        <w:t>Приобретение Облигаций означает заключение приобретателем Облигаций с Поручителем договора поручительства, по которому Поручитель обязывается перед приобретателем Облигаций отвечать за исполнение Эмитентом его обязательств перед Владельцем Облигаций на условиях, установленных Офертой, при этом письменная форма договора поручительства считается соблюденной.</w:t>
      </w:r>
      <w:r>
        <w:rPr>
          <w:rStyle w:val="Subst"/>
        </w:rPr>
        <w:br/>
        <w:t xml:space="preserve">С переходом прав на Облигацию с обеспечением к новому Владельцу (приобретателю) переходят все права, вытекающие из такого обеспечения в том же объеме и на тех же условиях, которые существуют на момент перехода прав на Облигацию. </w:t>
      </w:r>
      <w:r>
        <w:rPr>
          <w:rStyle w:val="Subst"/>
        </w:rPr>
        <w:br/>
        <w:t>Передача прав, возникших из предоставленного обеспечения, без передачи прав на Облигацию является недействительной.</w:t>
      </w:r>
      <w:r>
        <w:rPr>
          <w:rStyle w:val="Subst"/>
        </w:rPr>
        <w:br/>
      </w:r>
      <w:r>
        <w:rPr>
          <w:rStyle w:val="Subst"/>
        </w:rPr>
        <w:br/>
        <w:t>За неисполнение или ненадлежащее исполнение Эмитентом обязательств по выплате купонного дохода и номинальной стоимости Облигаций при их погашении, а также обязательств по приобретению Эмитентом Облигаций по требованию их Владельцев, Поручитель и Эмитент отвечают перед Владельцами Облигаций солидарно.</w:t>
      </w:r>
      <w:r>
        <w:rPr>
          <w:rStyle w:val="Subst"/>
        </w:rPr>
        <w:br/>
      </w:r>
      <w:r>
        <w:rPr>
          <w:rStyle w:val="Subst"/>
        </w:rPr>
        <w:br/>
        <w:t>Обеспечение предоставляется Закрытым акционерным обществом «Далур» (Поручитель) в отношении всех выпускаемых Эмитентом документарных неконвертируемых процентных облигаций на предъявителя серии 01 с обязательным централизованным хранением в количестве 520 000 (Пятьсот двадцать тысяч) штук номинальной стоимостью 1 000 (Одна тысяча) рублей каждая.</w:t>
      </w:r>
      <w:r>
        <w:rPr>
          <w:rStyle w:val="Subst"/>
        </w:rPr>
        <w:br/>
        <w:t>Предельный размер ответственности Поручителя по Обязательствам Эмитента ограничен Предельной Суммой, состоящей из  номинальной стоимости выпуска Облигаций в размере  520 000 000 (Пятьсот двадцать миллионов) рублей, а также суммы, составляющей совокупный купонный доход по 520 000 (Пятьсот двадцать тысяч) Облигаций, определяемый в соответствии с условиями Решения о выпуске ценных бумаг и Проспекта ценных бумаг (далее - Эмиссионные документы).</w:t>
      </w:r>
      <w:r>
        <w:rPr>
          <w:rStyle w:val="Subst"/>
        </w:rPr>
        <w:br/>
      </w:r>
      <w:r>
        <w:rPr>
          <w:rStyle w:val="Subst"/>
        </w:rPr>
        <w:br/>
        <w:t>Порядок действий Владельцев и/или номинальных держателей Облигаций в случае  отказа Эмитента от исполнения своих обязательств по Облигациям настоящего выпуска описаны в  п. 9.1.2. Проспекта ценных бумаг и п. 9.7. Решения о выпуске ценных бумаг.</w:t>
      </w:r>
      <w:r>
        <w:rPr>
          <w:rStyle w:val="Subst"/>
        </w:rPr>
        <w:br/>
      </w:r>
      <w:r>
        <w:rPr>
          <w:rStyle w:val="Subst"/>
        </w:rPr>
        <w:br/>
        <w:t>Сведения об обеспечении исполнения обязательств по Облигациям выпуска  содержатся в   п. 9.1.2. Проспекта ценных бумаг и п. 12.2. Решения о выпуске ценных бумаг.</w:t>
      </w:r>
      <w:r>
        <w:rPr>
          <w:rStyle w:val="Subst"/>
        </w:rPr>
        <w:br/>
      </w:r>
      <w:r>
        <w:rPr>
          <w:rStyle w:val="Subst"/>
        </w:rPr>
        <w:br/>
        <w:t>Все задолженности Эмитента по Облигациям настоящего выпуска будут юридически равны и в равной степени обязательны к исполнению.</w:t>
      </w:r>
    </w:p>
    <w:p w:rsidR="00B20811" w:rsidRDefault="00B20811">
      <w:pPr>
        <w:ind w:left="200"/>
      </w:pPr>
      <w:r>
        <w:t>Ценные бумаги выпуска размещаются:</w:t>
      </w:r>
      <w:r>
        <w:rPr>
          <w:rStyle w:val="Subst"/>
        </w:rPr>
        <w:t xml:space="preserve"> Да</w:t>
      </w:r>
    </w:p>
    <w:p w:rsidR="00B20811" w:rsidRDefault="00B20811">
      <w:pPr>
        <w:ind w:left="200"/>
      </w:pPr>
      <w:r>
        <w:t>Способ размещения ценных бумаг:</w:t>
      </w:r>
      <w:r>
        <w:rPr>
          <w:rStyle w:val="Subst"/>
        </w:rPr>
        <w:t xml:space="preserve"> открытая подписка</w:t>
      </w:r>
    </w:p>
    <w:p w:rsidR="00B20811" w:rsidRDefault="00B20811">
      <w:pPr>
        <w:pStyle w:val="SubHeading"/>
        <w:ind w:left="200"/>
      </w:pPr>
      <w:r>
        <w:t>Срок размещения</w:t>
      </w:r>
    </w:p>
    <w:p w:rsidR="00B20811" w:rsidRDefault="00B20811">
      <w:pPr>
        <w:ind w:left="400"/>
      </w:pPr>
      <w:r>
        <w:t>Дата начала размещения:</w:t>
      </w:r>
      <w:r>
        <w:rPr>
          <w:rStyle w:val="Subst"/>
        </w:rPr>
        <w:t xml:space="preserve"> 12.02.2008</w:t>
      </w:r>
    </w:p>
    <w:p w:rsidR="00B20811" w:rsidRDefault="00B20811">
      <w:pPr>
        <w:ind w:left="400"/>
      </w:pPr>
      <w:r>
        <w:t>Дата окончания размещения:</w:t>
      </w:r>
      <w:r>
        <w:rPr>
          <w:rStyle w:val="Subst"/>
        </w:rPr>
        <w:t xml:space="preserve"> 12.02.2008</w:t>
      </w:r>
    </w:p>
    <w:p w:rsidR="00B20811" w:rsidRDefault="00B20811">
      <w:pPr>
        <w:pStyle w:val="ThinDelim"/>
      </w:pPr>
    </w:p>
    <w:p w:rsidR="00B20811" w:rsidRDefault="00B20811">
      <w:pPr>
        <w:ind w:left="400"/>
      </w:pPr>
    </w:p>
    <w:p w:rsidR="00B20811" w:rsidRDefault="00B20811">
      <w:pPr>
        <w:ind w:left="200"/>
      </w:pPr>
      <w:r>
        <w:t>Порядок размещения ценных бумаг:</w:t>
      </w:r>
      <w:r>
        <w:br/>
      </w:r>
      <w:r>
        <w:rPr>
          <w:rStyle w:val="Subst"/>
        </w:rPr>
        <w:t>Дата начала размещения ценных бумаг или порядок ее определения:</w:t>
      </w:r>
      <w:r>
        <w:rPr>
          <w:rStyle w:val="Subst"/>
        </w:rPr>
        <w:br/>
        <w:t xml:space="preserve">Размещение Облигаций начинается не ранее, чем через 2 (Две) недели после опубликования </w:t>
      </w:r>
      <w:r>
        <w:rPr>
          <w:rStyle w:val="Subst"/>
        </w:rPr>
        <w:lastRenderedPageBreak/>
        <w:t>Эмитентом сообщения о государственной регистрации выпуска ценных бумаг и порядке доступа к информации, содержащейся в проспекте ценных бумаг, в периодическом печатном издании, распространяемом тиражом не менее 10 тысяч экземпляров – газете  «Ежедневные новости. Подмосковье», и обеспечения всем заинтересованным лицам возможности доступа к информации о выпуске ценных бумаг, которая должна быть раскрыта в соответствии с требованиями действующего законодательства Российской Федерации, регулирующего вопросы раскрытия информации эмитентами эмиссионных ценных бумаг.</w:t>
      </w:r>
      <w:r>
        <w:rPr>
          <w:rStyle w:val="Subst"/>
        </w:rPr>
        <w:br/>
        <w:t>Сообщение о государственной регистрации выпуска ценных бумаг и порядке доступа к информации, содержащейся в проспекте ценных бумаг (далее - сообщение о государственной регистрации выпуска  ценных бумаг), должно быть опубликовано эмитентом в следующие сроки с даты опубликования информации о государственной регистрации выпуска ценных бумаг эмитента на странице регистрирующего органа в сети Интернет или получения эмитентом письменного уведомления регистрирующего органа о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w:t>
      </w:r>
      <w:r>
        <w:rPr>
          <w:rStyle w:val="Subst"/>
        </w:rPr>
        <w:br/>
        <w:t>- в ленте новостей - не позднее 1 дня;</w:t>
      </w:r>
      <w:r>
        <w:rPr>
          <w:rStyle w:val="Subst"/>
        </w:rPr>
        <w:br/>
        <w:t>- на странице в сети Интернет по адресу www.rusfund.ru - не позднее 2 дней;</w:t>
      </w:r>
      <w:r>
        <w:rPr>
          <w:rStyle w:val="Subst"/>
        </w:rPr>
        <w:br/>
        <w:t>- в периодическом печатном издании - газете  «Ежедневные новости. Подмосковье» - не позднее 10 дней.</w:t>
      </w:r>
      <w:r>
        <w:rPr>
          <w:rStyle w:val="Subst"/>
        </w:rPr>
        <w:br/>
        <w:t>Эмитент обязан опубликовать текст зарегистрированного решения о выпуске ценных бумаг на странице в сети Интернет по адресу www.rusfund.ru в срок не более 2 дней с даты опубликования информации о государственной регистрации выпуска ценных бумаг эмитента на странице регистрирующего органа в сети Интернет или получения эмитентом письменного уведомления регистрирующего органа о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 При опубликовании текста решения о выпуске ценных бумаг на странице в сети Интернет по адресу www.rusfund.ru должны быть указаны государственный регистрационный номер выпуска ценных бумаг, дата его государственной регистрации и наименование регистрирующего органа, осуществившего государственную регистрацию выпуска ценных бумаг.</w:t>
      </w:r>
      <w:r>
        <w:rPr>
          <w:rStyle w:val="Subst"/>
        </w:rPr>
        <w:br/>
        <w:t>Текст зарегистрированного решения о выпуске ценных бумаг должен быть доступен в сети Интернет по адресу www.rusfund.ru с даты его опубликования в сети Интернет и до погашения (аннулирования) всех ценных бумаг этого выпуска.</w:t>
      </w:r>
      <w:r>
        <w:rPr>
          <w:rStyle w:val="Subst"/>
        </w:rPr>
        <w:br/>
        <w:t>Эмитент обязан опубликовать текст зарегистрированного проспекта ценных бумаг на странице в сети Интернет по адресу www.rusfund.ru в срок не более 2 дней с даты опубликования информации о государственной регистрации выпуска ценных бумаг эмитента на странице регистрирующего органа в сети Интернет или получения эмитентом письменного уведомления регистрирующего органа о государственной регистрации выпуска ценных бумаг посредством почтовой, факсимильной, электронной связи, вручения под роспись в зависимости от того, какая из указанных дат наступит раньше. При опубликовании текста проспекта ценных бумаг на странице в сети Интернет по адресу www.rusfund.ru должны быть указаны государственный регистрационный номер выпуска ценных бумаг, в отношении которого зарегистрирован проспект ценных бумаг, дата его регистрации и наименование регистрирующего органа, осуществившего регистрацию проспекта ценных бумаг.</w:t>
      </w:r>
      <w:r>
        <w:rPr>
          <w:rStyle w:val="Subst"/>
        </w:rPr>
        <w:br/>
        <w:t>Текст зарегистрированного проспекта ценных бумаг должен быть доступен в сети Интернет по адресу www.rusfund.ru с даты его опубликования в сети Интернет и до истечения не менее 6 месяцев с даты опубликования в сети Интернет текста зарегистрированного отчета об итогах выпуска ценных бумаг.</w:t>
      </w:r>
      <w:r>
        <w:rPr>
          <w:rStyle w:val="Subst"/>
        </w:rPr>
        <w:br/>
      </w:r>
      <w:r>
        <w:rPr>
          <w:rStyle w:val="Subst"/>
        </w:rPr>
        <w:br/>
        <w:t>Дата начала размещения Облигаций определяется уполномоченным органом эмитента после государственной регистрации выпуска Облигаций и раскрывается эмитентом.</w:t>
      </w:r>
      <w:r>
        <w:rPr>
          <w:rStyle w:val="Subst"/>
        </w:rPr>
        <w:br/>
        <w:t>Сообщение о дате начала размещения ценных бумаг должно быть опубликовано эмитентом в ленте новостей и на странице в сети Интернет в следующие сроки:</w:t>
      </w:r>
      <w:r>
        <w:rPr>
          <w:rStyle w:val="Subst"/>
        </w:rPr>
        <w:br/>
        <w:t>в ленте новостей - не позднее чем за 5 дней до даты начала размещения ценных бумаг;</w:t>
      </w:r>
      <w:r>
        <w:rPr>
          <w:rStyle w:val="Subst"/>
        </w:rPr>
        <w:br/>
        <w:t>на странице в сети Интернет по адресу www.rusfund.ru - не позднее чем за 4 дня до даты начала размещения ценных бумаг.</w:t>
      </w:r>
      <w:r>
        <w:rPr>
          <w:rStyle w:val="Subst"/>
        </w:rPr>
        <w:br/>
      </w:r>
      <w:r>
        <w:rPr>
          <w:rStyle w:val="Subst"/>
        </w:rPr>
        <w:br/>
        <w:t>В случае принятия эмитентом решения об изменении даты начала размещения ценных бумаг, раскрытой в порядке, предусмотренном выше, эмитент обязан опубликовать сообщение об изменении даты начала размещения ценных бумаг в ленте новостей и на странице в сети Интернет по адресу www.rusfund.ru не позднее 1 дня до наступления такой даты.</w:t>
      </w:r>
      <w:r>
        <w:rPr>
          <w:rStyle w:val="Subst"/>
        </w:rPr>
        <w:br/>
      </w:r>
      <w:r>
        <w:rPr>
          <w:rStyle w:val="Subst"/>
        </w:rPr>
        <w:br/>
        <w:t xml:space="preserve">Дата окончания размещения ценных бумаг или порядок ее определения: Датой окончания </w:t>
      </w:r>
      <w:r>
        <w:rPr>
          <w:rStyle w:val="Subst"/>
        </w:rPr>
        <w:lastRenderedPageBreak/>
        <w:t>размещения Облигаций является дата размещения последней Облигации выпуска, но не позднее одного года с даты государственной регистрации выпуска Облигаций.</w:t>
      </w:r>
      <w:r>
        <w:rPr>
          <w:rStyle w:val="Subst"/>
        </w:rPr>
        <w:br/>
      </w:r>
      <w:r>
        <w:rPr>
          <w:rStyle w:val="Subst"/>
        </w:rPr>
        <w:br/>
        <w:t>Выпуск Облигаций не предполагается размещать траншами.</w:t>
      </w:r>
    </w:p>
    <w:p w:rsidR="00B20811" w:rsidRDefault="00B20811">
      <w:pPr>
        <w:pStyle w:val="SubHeading"/>
        <w:ind w:left="200"/>
      </w:pPr>
      <w:r>
        <w:t>Цена размещения</w:t>
      </w:r>
    </w:p>
    <w:p w:rsidR="00B20811" w:rsidRDefault="00B20811">
      <w:pPr>
        <w:ind w:left="400"/>
      </w:pPr>
      <w:r>
        <w:t>Цена (цены) или порядок определения цены размещения ценных бумаг:</w:t>
      </w:r>
      <w:r>
        <w:br/>
      </w:r>
      <w:r>
        <w:rPr>
          <w:rStyle w:val="Subst"/>
        </w:rPr>
        <w:t xml:space="preserve">Цена размещения одной Облигации выпуска устанавливается равной 1 000 (Одной тысяче) рублей. Цена размещения одной Облигации в процентном исчислении устанавливается равной 100 (Сто) процентам от номинальной стоимости. </w:t>
      </w:r>
      <w:r>
        <w:rPr>
          <w:rStyle w:val="Subst"/>
        </w:rPr>
        <w:br/>
        <w:t>Начиная со второго дня размещения Облигаций выпуска, покупатель при совершении операции купли-продажи Облигаций уплачивает накопленный купонный доход по Облигациям (НКД), рассчитываемый по следующей формуле:</w:t>
      </w:r>
      <w:r>
        <w:rPr>
          <w:rStyle w:val="Subst"/>
        </w:rPr>
        <w:br/>
        <w:t>НКД = Nom * Ci * (T - T(i)) / 365 / 100%, где</w:t>
      </w:r>
      <w:r>
        <w:rPr>
          <w:rStyle w:val="Subst"/>
        </w:rPr>
        <w:br/>
        <w:t>НКД -  накопленный купонный доход, руб.;</w:t>
      </w:r>
      <w:r>
        <w:rPr>
          <w:rStyle w:val="Subst"/>
        </w:rPr>
        <w:br/>
        <w:t>i - порядковый номер текущего купонного периода, i = 1, 2, 3, ….10;</w:t>
      </w:r>
      <w:r>
        <w:rPr>
          <w:rStyle w:val="Subst"/>
        </w:rPr>
        <w:br/>
        <w:t>Nom - номинальная стоимость одной Облигации, руб.;</w:t>
      </w:r>
      <w:r>
        <w:rPr>
          <w:rStyle w:val="Subst"/>
        </w:rPr>
        <w:br/>
        <w:t>Сi - размер процентной ставки i - того купона в процентах годовых (%);</w:t>
      </w:r>
      <w:r>
        <w:rPr>
          <w:rStyle w:val="Subst"/>
        </w:rPr>
        <w:br/>
        <w:t>T - дата размещения Облигации внутри i - того купонного периода;</w:t>
      </w:r>
      <w:r>
        <w:rPr>
          <w:rStyle w:val="Subst"/>
        </w:rPr>
        <w:br/>
        <w:t>T(i) - дата начала купонного периода i - того купона</w:t>
      </w:r>
      <w:r>
        <w:rPr>
          <w:rStyle w:val="Subst"/>
        </w:rPr>
        <w:br/>
        <w:t>Сумма НКД в расчете на одну Облигацию определяется с точностью до одной копейки. 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5 - 9.</w:t>
      </w:r>
    </w:p>
    <w:p w:rsidR="00B20811" w:rsidRDefault="00B20811">
      <w:pPr>
        <w:pStyle w:val="SubHeading"/>
        <w:ind w:left="200"/>
      </w:pPr>
      <w:r>
        <w:t>Преимущественное право</w:t>
      </w:r>
    </w:p>
    <w:p w:rsidR="00B20811" w:rsidRDefault="00B20811">
      <w:pPr>
        <w:ind w:left="400"/>
      </w:pPr>
      <w:r>
        <w:t>Порядок осуществления преимущественного права приобретения размещаемых ценных бумаг:</w:t>
      </w:r>
      <w:r>
        <w:br/>
      </w:r>
      <w:r>
        <w:rPr>
          <w:rStyle w:val="Subst"/>
        </w:rPr>
        <w:t>Преимущественное право приобретения размещаемых ценных бумаг не предусмотрено.</w:t>
      </w:r>
    </w:p>
    <w:p w:rsidR="00B20811" w:rsidRDefault="00B20811">
      <w:pPr>
        <w:pStyle w:val="SubHeading"/>
        <w:ind w:left="200"/>
      </w:pPr>
      <w:r>
        <w:t>Условия и порядок оплаты ценных бумаг</w:t>
      </w:r>
    </w:p>
    <w:p w:rsidR="00B20811" w:rsidRDefault="00B20811">
      <w:pPr>
        <w:ind w:left="400"/>
      </w:pPr>
      <w:r>
        <w:rPr>
          <w:rStyle w:val="Subst"/>
        </w:rPr>
        <w:t>Срок, форма и порядок оплаты размещаемых ценных бумаг:</w:t>
      </w:r>
      <w:r>
        <w:rPr>
          <w:rStyle w:val="Subst"/>
        </w:rPr>
        <w:br/>
        <w:t>Оплата Облигаций производится в денежной форме в валюте Российской Федерации в безналичном порядке, в соответствии с Правилами Биржи и Правилами клиринга ЗАО ММВБ. Возможность рассрочки при оплате ценных бумаг выпуска не предусмотрена.</w:t>
      </w:r>
      <w:r>
        <w:rPr>
          <w:rStyle w:val="Subst"/>
        </w:rPr>
        <w:br/>
        <w:t xml:space="preserve">Расчеты по сделкам купли-продажи Облигаций при их размещении производятся на условиях «поставка против платежа», в соответствии с Правилами клиринга ЗАО ММВБ. </w:t>
      </w:r>
      <w:r>
        <w:rPr>
          <w:rStyle w:val="Subst"/>
        </w:rPr>
        <w:br/>
        <w:t>Обязательным условием приобретения Облигаций на Бирже при их размещении является резервирование денежных средств покупателя на счете Участника торгов Биржи, от имени которого подана заявка. При этом денежные средства должны быть зарезервированы в сумме, достаточной для полной оплаты Облигаций, указанных в заявках на приобретение Облигаций, с учетом всех необходимых комиссионных сборов.</w:t>
      </w:r>
      <w:r>
        <w:rPr>
          <w:rStyle w:val="Subst"/>
        </w:rPr>
        <w:br/>
        <w:t>Денежные средства, полученные от размещения Облигаций, зачисляются в Расчетной палате ММВБ на счет Андеррайтера (посредника при размещении Облигаций), которым является: Закрытое акционерное общество «Русские Фонды».</w:t>
      </w:r>
      <w:r>
        <w:rPr>
          <w:rStyle w:val="Subst"/>
        </w:rPr>
        <w:br/>
        <w:t xml:space="preserve">Реквизиты счета Андеррайтера, на который должны перечисляться денежные средства в оплату ценных бумаг выпуска: </w:t>
      </w:r>
      <w:r>
        <w:rPr>
          <w:rStyle w:val="Subst"/>
        </w:rPr>
        <w:br/>
        <w:t>Владелец счета: Закрытое акционерное общество «Русские Фонды» (ЗАО «Русские Фонды»)</w:t>
      </w:r>
      <w:r>
        <w:rPr>
          <w:rStyle w:val="Subst"/>
        </w:rPr>
        <w:br/>
        <w:t>Номер счета: 30401810200200000524 в ЗАО РП ММВБ</w:t>
      </w:r>
      <w:r>
        <w:rPr>
          <w:rStyle w:val="Subst"/>
        </w:rPr>
        <w:br/>
        <w:t>Кредитная организация:</w:t>
      </w:r>
      <w:r>
        <w:rPr>
          <w:rStyle w:val="Subst"/>
        </w:rPr>
        <w:br/>
        <w:t>Полное наименование: Небанковская кредитная организация закрытое акционерное общество «Расчетная палата Московской межбанковской валютной биржи»</w:t>
      </w:r>
      <w:r>
        <w:rPr>
          <w:rStyle w:val="Subst"/>
        </w:rPr>
        <w:br/>
        <w:t>Сокращенное наименование: ЗАО РП ММВБ</w:t>
      </w:r>
      <w:r>
        <w:rPr>
          <w:rStyle w:val="Subst"/>
        </w:rPr>
        <w:br/>
        <w:t>Место нахождения: Россия, 125009, г. Москва, Средний Кисловский пер., д. 1/13, стр. 8</w:t>
      </w:r>
      <w:r>
        <w:rPr>
          <w:rStyle w:val="Subst"/>
        </w:rPr>
        <w:br/>
        <w:t>БИК: 044583505</w:t>
      </w:r>
      <w:r>
        <w:rPr>
          <w:rStyle w:val="Subst"/>
        </w:rPr>
        <w:br/>
        <w:t>К/с: 30105810100000000505 в ОПЕРУ Московского ГТУ Банка России</w:t>
      </w:r>
      <w:r>
        <w:rPr>
          <w:rStyle w:val="Subst"/>
        </w:rPr>
        <w:br/>
      </w:r>
      <w:r>
        <w:rPr>
          <w:rStyle w:val="Subst"/>
        </w:rPr>
        <w:br/>
        <w:t>Иные существенные условия оплаты размещаемых ценных бумаг:</w:t>
      </w:r>
      <w:r>
        <w:rPr>
          <w:rStyle w:val="Subst"/>
        </w:rPr>
        <w:br/>
        <w:t xml:space="preserve">Участники торгов Биржи, заявки которых в ходе размещения Облигаций не были удовлетворены (были удовлетворены частично), имеют право отозвать зарезервированные, но </w:t>
      </w:r>
      <w:r>
        <w:rPr>
          <w:rStyle w:val="Subst"/>
        </w:rPr>
        <w:lastRenderedPageBreak/>
        <w:t xml:space="preserve">не использованные для покупки Облигаций денежные средства, из Расчетной палаты ММВБ. Отзыв денежных средств происходит в порядке и в сроки, установленные нормативными документами РП ММВБ. </w:t>
      </w:r>
      <w:r>
        <w:rPr>
          <w:rStyle w:val="Subst"/>
        </w:rPr>
        <w:br/>
        <w:t>Денежные средства, зачисленные на счет Андеррайтера в Расчетной палате ММВБ, переводятся им на счет Эмитента в срок, не позднее 1-го (одного) рабочего дня с даты поступления указанных денежных средств на счет Андеррайтера.</w:t>
      </w:r>
      <w:r>
        <w:rPr>
          <w:rStyle w:val="Subst"/>
        </w:rPr>
        <w:br/>
      </w:r>
    </w:p>
    <w:p w:rsidR="00B20811" w:rsidRDefault="00B20811">
      <w:pPr>
        <w:pStyle w:val="SubHeading"/>
        <w:ind w:left="200"/>
      </w:pPr>
      <w:r>
        <w:t>Доля, при неразмещении которой выпуск (дополнительный выпуск) ценных бумаг считается несостоявшимся, а также порядок возврата средств, переданных в оплату ценных бумаг выпуска (дополнительного выпуска), в случае признания его несостоявшимся</w:t>
      </w:r>
    </w:p>
    <w:p w:rsidR="00B20811" w:rsidRDefault="00B20811">
      <w:pPr>
        <w:ind w:left="400"/>
      </w:pPr>
      <w:r>
        <w:rPr>
          <w:rStyle w:val="Subst"/>
        </w:rPr>
        <w:t>Доля, при неразмещении которой выпуск (дополнительный выпуск) ценных бумаг считается несостоявшимся, не установлена</w:t>
      </w:r>
    </w:p>
    <w:p w:rsidR="00B20811" w:rsidRDefault="00B20811">
      <w:pPr>
        <w:pStyle w:val="SubHeading"/>
        <w:ind w:left="200"/>
      </w:pPr>
      <w:r>
        <w:t>Порядок и условия погашения ценных бумаг выпуска</w:t>
      </w:r>
    </w:p>
    <w:p w:rsidR="00B20811" w:rsidRDefault="00B20811">
      <w:pPr>
        <w:ind w:left="400"/>
      </w:pPr>
      <w:r>
        <w:rPr>
          <w:rStyle w:val="Subst"/>
        </w:rPr>
        <w:t>Датой начала погашения Облигаций выпуска является 1820-й (Одна тысяча восемьсот двадцатый)  день с Даты начала размещения Облигаций выпуска.</w:t>
      </w:r>
      <w:r>
        <w:rPr>
          <w:rStyle w:val="Subst"/>
        </w:rPr>
        <w:br/>
        <w:t>Дата окончания:</w:t>
      </w:r>
      <w:r>
        <w:rPr>
          <w:rStyle w:val="Subst"/>
        </w:rPr>
        <w:br/>
      </w:r>
      <w:r>
        <w:rPr>
          <w:rStyle w:val="Subst"/>
        </w:rPr>
        <w:br/>
        <w:t>Даты начала и окончания погашения Облигаций совпадают.</w:t>
      </w:r>
      <w:r>
        <w:rPr>
          <w:rStyle w:val="Subst"/>
        </w:rPr>
        <w:br/>
      </w:r>
      <w:r>
        <w:rPr>
          <w:rStyle w:val="Subst"/>
        </w:rPr>
        <w:br/>
        <w:t>Срок погашения облигаций – 04 февраля 2013 г.</w:t>
      </w:r>
      <w:r>
        <w:rPr>
          <w:rStyle w:val="Subst"/>
        </w:rPr>
        <w:br/>
      </w:r>
      <w:r>
        <w:rPr>
          <w:rStyle w:val="Subst"/>
        </w:rPr>
        <w:br/>
        <w:t>Форма погашения облигаций:</w:t>
      </w:r>
      <w:r>
        <w:rPr>
          <w:rStyle w:val="Subst"/>
        </w:rPr>
        <w:br/>
      </w:r>
      <w:r>
        <w:rPr>
          <w:rStyle w:val="Subst"/>
        </w:rPr>
        <w:br/>
        <w:t xml:space="preserve">Погашение Облигаций осуществляется денежными средствами в валюте Российской Федерации в безналичном порядке. </w:t>
      </w:r>
      <w:r>
        <w:rPr>
          <w:rStyle w:val="Subst"/>
        </w:rPr>
        <w:br/>
        <w:t>Возможность выбора Владельцами Облигаций формы их погашения не предусмотрена.</w:t>
      </w:r>
      <w:r>
        <w:rPr>
          <w:rStyle w:val="Subst"/>
        </w:rPr>
        <w:br/>
      </w:r>
      <w:r>
        <w:rPr>
          <w:rStyle w:val="Subst"/>
        </w:rPr>
        <w:br/>
        <w:t>Дата (порядок определения даты), на которую составляется список владельцев облигаций для целей их погашения:</w:t>
      </w:r>
      <w:r>
        <w:rPr>
          <w:rStyle w:val="Subst"/>
        </w:rPr>
        <w:br/>
        <w:t>Погашение Облигаций производится в пользу Владельцев Облигаций, являющихся таковыми по состоянию на конец операционного дня Депозитария, предшествующего шестому рабочему дню до даты погашения Облигаций (далее по тексту – «Дата составления Перечня владельцев и/или номинальных держателей Облигаций»).</w:t>
      </w:r>
      <w:r>
        <w:rPr>
          <w:rStyle w:val="Subst"/>
        </w:rPr>
        <w:br/>
        <w:t>Исполнение обязательства по отношению к Владельцу, включенному в Перечень владельцев и/или номинальных держателей Облигаций, признается надлежащим, в том числе в случае отчуждения Облигаций после Даты составления Перечня владельцев и/или номинальных держателей Облигаций.</w:t>
      </w:r>
      <w:r>
        <w:rPr>
          <w:rStyle w:val="Subst"/>
        </w:rPr>
        <w:br/>
        <w:t xml:space="preserve">Владельцы Облигаций и/или номинальные держатели, уполномоченные на получение сумм погашения по Облигациям, самостоятельно отслеживают полноту и актуальность реквизитов банковского счета, предоставленных ими в Депозитарий. </w:t>
      </w:r>
      <w:r>
        <w:rPr>
          <w:rStyle w:val="Subst"/>
        </w:rPr>
        <w:br/>
        <w:t xml:space="preserve">В случае непредставления или несвоевременного предоставления в Депозитарий информации, необходимой для исполнения Эмитентом обязательств по Облигациям,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 В том случае, если предоставленные Владельцем и/или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Облигации не имеет права требовать начисления процентов или какой-либо иной компенсации за такую задержку в платеже.  </w:t>
      </w:r>
      <w:r>
        <w:rPr>
          <w:rStyle w:val="Subst"/>
        </w:rPr>
        <w:br/>
      </w:r>
      <w:r>
        <w:rPr>
          <w:rStyle w:val="Subst"/>
        </w:rPr>
        <w:br/>
        <w:t>Иные условия и порядок погашения облигаций:</w:t>
      </w:r>
      <w:r>
        <w:rPr>
          <w:rStyle w:val="Subst"/>
        </w:rPr>
        <w:br/>
        <w:t>Если дата погашения Облигаций приходится на выходной день - независимо от того, будет ли это государственный выходной день или выходной день для расчетных операций, -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w:t>
      </w:r>
      <w:r>
        <w:rPr>
          <w:rStyle w:val="Subst"/>
        </w:rPr>
        <w:br/>
      </w:r>
      <w:r>
        <w:rPr>
          <w:rStyle w:val="Subst"/>
        </w:rPr>
        <w:lastRenderedPageBreak/>
        <w:t>Погашение Облигаций производятся в валюте Российской Федерации в безналичном порядке в пользу Владельцев Облигаций.</w:t>
      </w:r>
      <w:r>
        <w:rPr>
          <w:rStyle w:val="Subst"/>
        </w:rPr>
        <w:br/>
        <w:t>Владелец Облигации, если он не является депонентом Депозитария,  может, но не обязан, уполномочить держателя Облигаций - депонента Депозитария получать суммы от погашения Облигаций. В том случае, если Владелец Облигации не уполномочил депонента Депозитария получать в его пользу суммы от погашения Облигаций, погашение Облигаций производится непосредственно Владельцу Облигаций.</w:t>
      </w:r>
      <w:r>
        <w:rPr>
          <w:rStyle w:val="Subst"/>
        </w:rPr>
        <w:br/>
        <w:t>Презюмируется, что номинальные держатели - депоненты Депозитария уполномочены получать суммы погашения по Облигациям. Депонент  Депозитария, не уполномоченный своими клиентами получать суммы погашения по Облигациям, не позднее, чем в 5 (пятый) рабочий день  до даты погашения Облигаций, передает в Депозитарий Список Владельцев Облигаций, который должен содержать все реквизиты, указанные ниже в Перечне  владельцев и/или номинальных держателей Облигаций.</w:t>
      </w:r>
      <w:r>
        <w:rPr>
          <w:rStyle w:val="Subst"/>
        </w:rPr>
        <w:br/>
      </w:r>
      <w:r>
        <w:rPr>
          <w:rStyle w:val="Subst"/>
        </w:rPr>
        <w:br/>
        <w:t>В случае если права Владельца на Облигации учитываются номинальным держателем Облигаций и номинальный держатель Облигаций уполномочен на получение суммы погашения по Облигациям, то под лицом, уполномоченным получать суммы погашения по Облигациям, подразумевается номинальный держатель Облигаций.</w:t>
      </w:r>
      <w:r>
        <w:rPr>
          <w:rStyle w:val="Subst"/>
        </w:rPr>
        <w:br/>
        <w:t>В случае если права Владельца на Облигации не учитываются номинальным держателем  Облигаций или номинальный держатель Облигаций не уполномочен Владельцем на получение суммы погашения по Облигациям, то под лицом, уполномоченным получать суммы погашения по Облигациям, подразумевается Владелец Облигаций.</w:t>
      </w:r>
      <w:r>
        <w:rPr>
          <w:rStyle w:val="Subst"/>
        </w:rPr>
        <w:br/>
        <w:t>Не позднее, чем в  3 (третий) рабочий день до даты погашения Облигаций Депозитарий составляет и предоставляет Эмитенту и/или Платежному агенту Перечень владельцев и/или номинальных держателей Облигаций, включающий в себя следующие данные:</w:t>
      </w:r>
      <w:r>
        <w:rPr>
          <w:rStyle w:val="Subst"/>
        </w:rPr>
        <w:br/>
        <w:t xml:space="preserve"> а) полное наименование юридического лица (Ф.И.О. физического лица), уполномоченного получать суммы погашения по Облигациям;</w:t>
      </w:r>
      <w:r>
        <w:rPr>
          <w:rStyle w:val="Subst"/>
        </w:rPr>
        <w:br/>
        <w:t xml:space="preserve">  б) количество Облигаций, учитываемых на счете депо лица, уполномоченного получать суммы погашения по Облигациям;</w:t>
      </w:r>
      <w:r>
        <w:rPr>
          <w:rStyle w:val="Subst"/>
        </w:rPr>
        <w:br/>
        <w:t xml:space="preserve"> в) место нахождения и почтовый адрес лица, уполномоченного получать суммы погашения по Облигациям;</w:t>
      </w:r>
      <w:r>
        <w:rPr>
          <w:rStyle w:val="Subst"/>
        </w:rPr>
        <w:br/>
        <w:t xml:space="preserve"> г) реквизиты банковского счета лица, уполномоченного получать суммы погашения по Облигациям, а именно: </w:t>
      </w:r>
      <w:r>
        <w:rPr>
          <w:rStyle w:val="Subst"/>
        </w:rPr>
        <w:br/>
        <w:t>- номер счета;</w:t>
      </w:r>
      <w:r>
        <w:rPr>
          <w:rStyle w:val="Subst"/>
        </w:rPr>
        <w:br/>
        <w:t>- наименование банка, в котором открыт счет;</w:t>
      </w:r>
      <w:r>
        <w:rPr>
          <w:rStyle w:val="Subst"/>
        </w:rPr>
        <w:br/>
        <w:t>- корреспондентский счет банка, в котором открыт счет;</w:t>
      </w:r>
      <w:r>
        <w:rPr>
          <w:rStyle w:val="Subst"/>
        </w:rPr>
        <w:br/>
        <w:t>- банковский идентификационный код банка, в котором открыт счет;</w:t>
      </w:r>
      <w:r>
        <w:rPr>
          <w:rStyle w:val="Subst"/>
        </w:rPr>
        <w:br/>
        <w:t>д) идентификационный номер налогоплательщика (ИНН) лица, уполномоченного получать суммы погашения по Облигациям;</w:t>
      </w:r>
      <w:r>
        <w:rPr>
          <w:rStyle w:val="Subst"/>
        </w:rPr>
        <w:br/>
        <w:t xml:space="preserve">е) налоговый статус лица, уполномоченного получать суммы погашения по Облигациям (резидент, нерезидент с постоянным представительством в Российской Федерации, нерезидент без постоянного представительства в Российской Федерации и т.д.) </w:t>
      </w:r>
      <w:r>
        <w:rPr>
          <w:rStyle w:val="Subst"/>
        </w:rPr>
        <w:br/>
        <w:t xml:space="preserve"> Дополнительно к указанным сведениям номинальный держатель обязан передать в НДЦ, а НДЦ  обязан включить в Перечень владельцев и/или номинальных держателей Облигаций для выплаты сумм погашения следующую информацию относительно физических лиц и юридических лиц - нерезидентов Российской Федерации, являющихся владельцами Облигаций, независимо о того уполномочен номинальный держатель получать суммы погашения по Облигациям или нет:</w:t>
      </w:r>
      <w:r>
        <w:rPr>
          <w:rStyle w:val="Subst"/>
        </w:rPr>
        <w:br/>
        <w:t>а) в случае если владельцем Облигаций является юридическое лицо-нерезидент:</w:t>
      </w:r>
      <w:r>
        <w:rPr>
          <w:rStyle w:val="Subst"/>
        </w:rPr>
        <w:br/>
        <w:t>- индивидуальный идентификационный номер (ИИН) – при наличии;</w:t>
      </w:r>
      <w:r>
        <w:rPr>
          <w:rStyle w:val="Subst"/>
        </w:rPr>
        <w:br/>
        <w:t>б) в случае если владельцем Облигаций является физическое лицо:</w:t>
      </w:r>
      <w:r>
        <w:rPr>
          <w:rStyle w:val="Subst"/>
        </w:rPr>
        <w:br/>
        <w:t>- вид, номер, дата и место выдачи документа, удостоверяющего личность владельца, наименование органа, выдавшего документ;</w:t>
      </w:r>
      <w:r>
        <w:rPr>
          <w:rStyle w:val="Subst"/>
        </w:rPr>
        <w:br/>
        <w:t>-  число, месяц и год рождения владельца;</w:t>
      </w:r>
      <w:r>
        <w:rPr>
          <w:rStyle w:val="Subst"/>
        </w:rPr>
        <w:br/>
        <w:t>- место регистрации и почтовый адрес, включая индекс, владельца;</w:t>
      </w:r>
      <w:r>
        <w:rPr>
          <w:rStyle w:val="Subst"/>
        </w:rPr>
        <w:br/>
        <w:t>- налоговый статус владельца;</w:t>
      </w:r>
      <w:r>
        <w:rPr>
          <w:rStyle w:val="Subst"/>
        </w:rPr>
        <w:br/>
        <w:t>- номер свидетельства государственного пенсионного страхования владельца (при его наличии);</w:t>
      </w:r>
      <w:r>
        <w:rPr>
          <w:rStyle w:val="Subst"/>
        </w:rPr>
        <w:br/>
        <w:t>- ИНН владельца (при его наличии).</w:t>
      </w:r>
      <w:r>
        <w:rPr>
          <w:rStyle w:val="Subst"/>
        </w:rPr>
        <w:br/>
      </w:r>
      <w:r>
        <w:rPr>
          <w:rStyle w:val="Subst"/>
        </w:rPr>
        <w:br/>
        <w:t xml:space="preserve">Владельцы Облигаций, их уполномоченные лица, в том числе депоненты Депозитария, самостоятельно отслеживают полноту и актуальность реквизитов банковского счета, предоставленных им в Депозитарий. В случае непредставления или несвоевременного предоставления в Депозитарий указанных реквизитов, исполнение таких обязательств </w:t>
      </w:r>
      <w:r>
        <w:rPr>
          <w:rStyle w:val="Subst"/>
        </w:rPr>
        <w:lastRenderedPageBreak/>
        <w:t xml:space="preserve">производится лицу, предъявившему требование об исполнении обязательств и являющемуся Владельцем Облигаций на дату предъявления требования. </w:t>
      </w:r>
      <w:r>
        <w:rPr>
          <w:rStyle w:val="Subst"/>
        </w:rPr>
        <w:br/>
        <w:t>При этом исполнение Эмитентом обязательств по Облигациям производится на основании данных Депозитария, в этом случае обязательства Эмитента считаются исполненными в полном 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Облигации не имеет права требовать начисления процентов или какой-либо иной компенсации за такую задержку в платеже.</w:t>
      </w:r>
      <w:r>
        <w:rPr>
          <w:rStyle w:val="Subst"/>
        </w:rPr>
        <w:br/>
      </w:r>
      <w:r>
        <w:rPr>
          <w:rStyle w:val="Subst"/>
        </w:rPr>
        <w:br/>
        <w:t>Не позднее, чем за 1 (один) рабочий день до даты погашения Облигаций Эмитент перечисляет необходимые денежные средства на счет Платежного агента.</w:t>
      </w:r>
      <w:r>
        <w:rPr>
          <w:rStyle w:val="Subst"/>
        </w:rPr>
        <w:br/>
        <w:t>На основании Перечня владельцев и/или номинальных держателей Облигаций, предоставленного Депозитарием, Платежный агент рассчитывает суммы денежных средств, подлежащих выплате каждому из лиц, указанных в Перечне владельцев и/или номинальных держателей Облигаций.</w:t>
      </w:r>
      <w:r>
        <w:rPr>
          <w:rStyle w:val="Subst"/>
        </w:rPr>
        <w:br/>
        <w:t>В дату погашения Облигаций Платежный агент перечисляет необходимые денежные средства на счета лиц, уполномоченных на получение сумм погашения по Облигациям, указанных в Перечне владельцев и/или номинальных держателей Облигаций.</w:t>
      </w:r>
      <w:r>
        <w:rPr>
          <w:rStyle w:val="Subst"/>
        </w:rPr>
        <w:br/>
        <w:t>В случае если одно лицо уполномочено на получение сумм погашения по Облигациям со стороны нескольких владельцев Облигаций, то такому лицу перечисляется общая сумма без разбивки по каждому владельцу Облигаций.</w:t>
      </w:r>
      <w:r>
        <w:rPr>
          <w:rStyle w:val="Subst"/>
        </w:rPr>
        <w:br/>
      </w:r>
      <w:r>
        <w:rPr>
          <w:rStyle w:val="Subst"/>
        </w:rPr>
        <w:br/>
        <w:t xml:space="preserve">Исполнение обязательства по отношению к владельцу, включенному в Перечень владельцев и/или номинальных держателей Облигаций на дату составления Перечня владельцев и/или номинальных держателей Облигаций для исполнения по ним обязательств, признается надлежащим, в том числе в случае отчуждения облигаций после даты составления Перечня владельцев и/или номинальных держателей Облигаций. </w:t>
      </w:r>
      <w:r>
        <w:rPr>
          <w:rStyle w:val="Subst"/>
        </w:rPr>
        <w:br/>
        <w:t>В случае непредставления (несвоевременного предоставления) Депозитарию, осуществляющему централизованное хранение, информации, необходимой для исполнения Эмитентом обязательств по облигациям,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w:t>
      </w:r>
    </w:p>
    <w:p w:rsidR="00B20811" w:rsidRDefault="00B20811">
      <w:pPr>
        <w:ind w:left="200"/>
      </w:pPr>
      <w:r>
        <w:t>Размер процентного (купонного) дохода по облигациям, порядок и условия его выплаты:</w:t>
      </w:r>
      <w:r>
        <w:br/>
      </w:r>
      <w:r>
        <w:rPr>
          <w:rStyle w:val="Subst"/>
        </w:rPr>
        <w:t>1 купонный период:  дата начала купонного периода 12.02.2008;  дата окончания купонного периода 12.08.2008</w:t>
      </w:r>
      <w:r>
        <w:rPr>
          <w:rStyle w:val="Subst"/>
        </w:rPr>
        <w:tab/>
        <w:t>длительн</w:t>
      </w:r>
      <w:r w:rsidR="007B24D4">
        <w:rPr>
          <w:rStyle w:val="Subst"/>
        </w:rPr>
        <w:t>о</w:t>
      </w:r>
      <w:r>
        <w:rPr>
          <w:rStyle w:val="Subst"/>
        </w:rPr>
        <w:t>сть купонного периода 182 дня; ра</w:t>
      </w:r>
      <w:r w:rsidR="007B24D4">
        <w:rPr>
          <w:rStyle w:val="Subst"/>
        </w:rPr>
        <w:t>з</w:t>
      </w:r>
      <w:r>
        <w:rPr>
          <w:rStyle w:val="Subst"/>
        </w:rPr>
        <w:t>мер дохода по купону</w:t>
      </w:r>
      <w:r>
        <w:rPr>
          <w:rStyle w:val="Subst"/>
        </w:rPr>
        <w:tab/>
        <w:t>12,95% годовых, что соответствует 64 рубля 57 копеек на одну облигацию; дата выплаты по купону  12.08.2008; дата фиксации списка владельцев  01.08.2008.</w:t>
      </w:r>
      <w:r>
        <w:rPr>
          <w:rStyle w:val="Subst"/>
        </w:rPr>
        <w:br/>
        <w:t>2 купонный период:  дата начала купонного периода 12.08.2008;  дата окончания купонного периода 10.02.2009</w:t>
      </w:r>
      <w:r>
        <w:rPr>
          <w:rStyle w:val="Subst"/>
        </w:rPr>
        <w:tab/>
        <w:t>длительн</w:t>
      </w:r>
      <w:r w:rsidR="007B24D4">
        <w:rPr>
          <w:rStyle w:val="Subst"/>
        </w:rPr>
        <w:t>о</w:t>
      </w:r>
      <w:r>
        <w:rPr>
          <w:rStyle w:val="Subst"/>
        </w:rPr>
        <w:t>сть купонного периода 182 дня; ра</w:t>
      </w:r>
      <w:r w:rsidR="007B24D4">
        <w:rPr>
          <w:rStyle w:val="Subst"/>
        </w:rPr>
        <w:t>з</w:t>
      </w:r>
      <w:r>
        <w:rPr>
          <w:rStyle w:val="Subst"/>
        </w:rPr>
        <w:t>мер дохода по купону</w:t>
      </w:r>
      <w:r>
        <w:rPr>
          <w:rStyle w:val="Subst"/>
        </w:rPr>
        <w:tab/>
        <w:t>12,95% годовых, что соответствует 64 рубля 57 копеек на одну облигацию; дата выплаты по купону  10.02.2009; дата фиксации списка владельцев  30.01.2009.</w:t>
      </w:r>
      <w:r>
        <w:rPr>
          <w:rStyle w:val="Subst"/>
        </w:rPr>
        <w:tab/>
      </w:r>
      <w:r>
        <w:rPr>
          <w:rStyle w:val="Subst"/>
        </w:rPr>
        <w:br/>
        <w:t>3 купонный период:  дата начала купонного периода 10.02.2009;  дата окончания купонного периода 11.08.2009</w:t>
      </w:r>
      <w:r>
        <w:rPr>
          <w:rStyle w:val="Subst"/>
        </w:rPr>
        <w:tab/>
        <w:t>длительн</w:t>
      </w:r>
      <w:r w:rsidR="007B24D4">
        <w:rPr>
          <w:rStyle w:val="Subst"/>
        </w:rPr>
        <w:t>о</w:t>
      </w:r>
      <w:r>
        <w:rPr>
          <w:rStyle w:val="Subst"/>
        </w:rPr>
        <w:t>сть купонного периода 182 дня; ра</w:t>
      </w:r>
      <w:r w:rsidR="007B24D4">
        <w:rPr>
          <w:rStyle w:val="Subst"/>
        </w:rPr>
        <w:t>з</w:t>
      </w:r>
      <w:r>
        <w:rPr>
          <w:rStyle w:val="Subst"/>
        </w:rPr>
        <w:t>мер дохода по купону</w:t>
      </w:r>
      <w:r>
        <w:rPr>
          <w:rStyle w:val="Subst"/>
        </w:rPr>
        <w:tab/>
        <w:t>14.00% годовых, что соответствует 69 рублей 81 копейка на одну облигацию; дата выплаты по купону  11.08.2009; дата фиксации списка владельцев  31.07.2009.</w:t>
      </w:r>
      <w:r>
        <w:rPr>
          <w:rStyle w:val="Subst"/>
        </w:rPr>
        <w:br/>
        <w:t>4 купонный период:  дата начала купонного периода 11.08.2009;  дата окончания купонного периода 09.02.2010;</w:t>
      </w:r>
      <w:r>
        <w:rPr>
          <w:rStyle w:val="Subst"/>
        </w:rPr>
        <w:tab/>
        <w:t>длительн</w:t>
      </w:r>
      <w:r w:rsidR="007B24D4">
        <w:rPr>
          <w:rStyle w:val="Subst"/>
        </w:rPr>
        <w:t>о</w:t>
      </w:r>
      <w:r>
        <w:rPr>
          <w:rStyle w:val="Subst"/>
        </w:rPr>
        <w:t>сть купонного периода 182 дня; ра</w:t>
      </w:r>
      <w:r w:rsidR="007B24D4">
        <w:rPr>
          <w:rStyle w:val="Subst"/>
        </w:rPr>
        <w:t>з</w:t>
      </w:r>
      <w:r>
        <w:rPr>
          <w:rStyle w:val="Subst"/>
        </w:rPr>
        <w:t>мер дохода по купону</w:t>
      </w:r>
      <w:r>
        <w:rPr>
          <w:rStyle w:val="Subst"/>
        </w:rPr>
        <w:tab/>
        <w:t>равняется ставке третьего купона; дата выплаты по купону  09.02.2010; дата фиксации списка владельцев  29.01.2010.</w:t>
      </w:r>
      <w:r>
        <w:rPr>
          <w:rStyle w:val="Subst"/>
        </w:rPr>
        <w:br/>
        <w:t>5 купонный период:  дата начала купонного периода 09.02.2010;  дата окончания купонного периода 10.08.2010;</w:t>
      </w:r>
      <w:r>
        <w:rPr>
          <w:rStyle w:val="Subst"/>
        </w:rPr>
        <w:tab/>
        <w:t>длительн</w:t>
      </w:r>
      <w:r w:rsidR="007B24D4">
        <w:rPr>
          <w:rStyle w:val="Subst"/>
        </w:rPr>
        <w:t>о</w:t>
      </w:r>
      <w:r>
        <w:rPr>
          <w:rStyle w:val="Subst"/>
        </w:rPr>
        <w:t>сть купонного периода 182 дня; ра</w:t>
      </w:r>
      <w:r w:rsidR="007B24D4">
        <w:rPr>
          <w:rStyle w:val="Subst"/>
        </w:rPr>
        <w:t>з</w:t>
      </w:r>
      <w:r>
        <w:rPr>
          <w:rStyle w:val="Subst"/>
        </w:rPr>
        <w:t>мер дохода по купону</w:t>
      </w:r>
      <w:r>
        <w:rPr>
          <w:rStyle w:val="Subst"/>
        </w:rPr>
        <w:tab/>
        <w:t>равняется ставке третьего купона; дата выплаты по купону  10.08.2010; дата фиксации списка владельцев 30.07.2010.</w:t>
      </w:r>
      <w:r>
        <w:rPr>
          <w:rStyle w:val="Subst"/>
        </w:rPr>
        <w:br/>
        <w:t>6 купонный период:  дата начала купонного периода 10.08.2010;  дата окончания купонного периода 08.02.2011;</w:t>
      </w:r>
      <w:r>
        <w:rPr>
          <w:rStyle w:val="Subst"/>
        </w:rPr>
        <w:tab/>
        <w:t>длительн</w:t>
      </w:r>
      <w:r w:rsidR="007B24D4">
        <w:rPr>
          <w:rStyle w:val="Subst"/>
        </w:rPr>
        <w:t>о</w:t>
      </w:r>
      <w:r>
        <w:rPr>
          <w:rStyle w:val="Subst"/>
        </w:rPr>
        <w:t>сть купонного периода 182 дня; ра</w:t>
      </w:r>
      <w:r w:rsidR="007B24D4">
        <w:rPr>
          <w:rStyle w:val="Subst"/>
        </w:rPr>
        <w:t>з</w:t>
      </w:r>
      <w:r>
        <w:rPr>
          <w:rStyle w:val="Subst"/>
        </w:rPr>
        <w:t>мер дохода по купону</w:t>
      </w:r>
      <w:r>
        <w:rPr>
          <w:rStyle w:val="Subst"/>
        </w:rPr>
        <w:tab/>
        <w:t>равняется ставке третьего купона; дата выплаты по купону  08.02.2011; дата фиксации списка владельцев 30.07.2010.</w:t>
      </w:r>
      <w:r>
        <w:rPr>
          <w:rStyle w:val="Subst"/>
        </w:rPr>
        <w:br/>
        <w:t>7 купонный период:  дата начала купонного периода 08.02.2011;  дата окончания купонного периода 09.08.2011;</w:t>
      </w:r>
      <w:r>
        <w:rPr>
          <w:rStyle w:val="Subst"/>
        </w:rPr>
        <w:tab/>
        <w:t>длительн</w:t>
      </w:r>
      <w:r w:rsidR="007B24D4">
        <w:rPr>
          <w:rStyle w:val="Subst"/>
        </w:rPr>
        <w:t>о</w:t>
      </w:r>
      <w:r>
        <w:rPr>
          <w:rStyle w:val="Subst"/>
        </w:rPr>
        <w:t>сть купонного периода 182 дня; ра</w:t>
      </w:r>
      <w:r w:rsidR="007B24D4">
        <w:rPr>
          <w:rStyle w:val="Subst"/>
        </w:rPr>
        <w:t>з</w:t>
      </w:r>
      <w:r>
        <w:rPr>
          <w:rStyle w:val="Subst"/>
        </w:rPr>
        <w:t>мер дохода по купону</w:t>
      </w:r>
      <w:r>
        <w:rPr>
          <w:rStyle w:val="Subst"/>
        </w:rPr>
        <w:tab/>
        <w:t xml:space="preserve">определяется Эмитентом не позднее, чем за 14 календарных дней до даты выплаты </w:t>
      </w:r>
      <w:r>
        <w:rPr>
          <w:rStyle w:val="Subst"/>
        </w:rPr>
        <w:lastRenderedPageBreak/>
        <w:t>шестого купона; дата выплаты по купону  09.08.2011; дата фиксации списка владельцев 29.07.2011.</w:t>
      </w:r>
      <w:r>
        <w:rPr>
          <w:rStyle w:val="Subst"/>
        </w:rPr>
        <w:br/>
        <w:t>8 купонный период:  дата начала купонного периода 09.08.2011;  дата окончания купонного периода 07.02.2012;</w:t>
      </w:r>
      <w:r>
        <w:rPr>
          <w:rStyle w:val="Subst"/>
        </w:rPr>
        <w:tab/>
        <w:t>длительн</w:t>
      </w:r>
      <w:r w:rsidR="007B24D4">
        <w:rPr>
          <w:rStyle w:val="Subst"/>
        </w:rPr>
        <w:t>о</w:t>
      </w:r>
      <w:r>
        <w:rPr>
          <w:rStyle w:val="Subst"/>
        </w:rPr>
        <w:t>сть купонного периода 182 дня; ра</w:t>
      </w:r>
      <w:r w:rsidR="007B24D4">
        <w:rPr>
          <w:rStyle w:val="Subst"/>
        </w:rPr>
        <w:t>з</w:t>
      </w:r>
      <w:r>
        <w:rPr>
          <w:rStyle w:val="Subst"/>
        </w:rPr>
        <w:t>мер дохода по купону</w:t>
      </w:r>
      <w:r>
        <w:rPr>
          <w:rStyle w:val="Subst"/>
        </w:rPr>
        <w:tab/>
        <w:t>определяется Эмитентом не позднее, чем за 14 календарных дней до даты выплаты седьмого купона; дата выплаты по купону  07.02.2012; дата фиксации списка владельцев 27.01.2012.</w:t>
      </w:r>
      <w:r>
        <w:rPr>
          <w:rStyle w:val="Subst"/>
        </w:rPr>
        <w:br/>
        <w:t>9 купонный период:  дата начала купонного периода 07.02.2012;  дата окончания купонного периода 07.08.2012;</w:t>
      </w:r>
      <w:r>
        <w:rPr>
          <w:rStyle w:val="Subst"/>
        </w:rPr>
        <w:tab/>
        <w:t>длительн</w:t>
      </w:r>
      <w:r w:rsidR="007B24D4">
        <w:rPr>
          <w:rStyle w:val="Subst"/>
        </w:rPr>
        <w:t>о</w:t>
      </w:r>
      <w:r>
        <w:rPr>
          <w:rStyle w:val="Subst"/>
        </w:rPr>
        <w:t>сть купонного периода 182 дня; ра</w:t>
      </w:r>
      <w:r w:rsidR="007B24D4">
        <w:rPr>
          <w:rStyle w:val="Subst"/>
        </w:rPr>
        <w:t>з</w:t>
      </w:r>
      <w:r>
        <w:rPr>
          <w:rStyle w:val="Subst"/>
        </w:rPr>
        <w:t>мер дохода по купону</w:t>
      </w:r>
      <w:r>
        <w:rPr>
          <w:rStyle w:val="Subst"/>
        </w:rPr>
        <w:tab/>
        <w:t>определяется Эмитентом не позднее, чем за 14 календарных дней до даты выплаты восьмого купона; дата выплаты по купону  07.08.2012; дата фиксации списка владельцев 27.07.2012.</w:t>
      </w:r>
      <w:r>
        <w:rPr>
          <w:rStyle w:val="Subst"/>
        </w:rPr>
        <w:br/>
        <w:t>10 купонный период:  дата начала купонного периода 07.08.2012;  дата окончания купонного периода  05.02.2013; длительн</w:t>
      </w:r>
      <w:r w:rsidR="00A00EFB">
        <w:rPr>
          <w:rStyle w:val="Subst"/>
        </w:rPr>
        <w:t>о</w:t>
      </w:r>
      <w:r>
        <w:rPr>
          <w:rStyle w:val="Subst"/>
        </w:rPr>
        <w:t>сть купонного периода 182 дня; ра</w:t>
      </w:r>
      <w:r w:rsidR="00A00EFB">
        <w:rPr>
          <w:rStyle w:val="Subst"/>
        </w:rPr>
        <w:t>з</w:t>
      </w:r>
      <w:r>
        <w:rPr>
          <w:rStyle w:val="Subst"/>
        </w:rPr>
        <w:t>мер дохода по купону</w:t>
      </w:r>
      <w:r>
        <w:rPr>
          <w:rStyle w:val="Subst"/>
        </w:rPr>
        <w:tab/>
        <w:t>определяется Эмитентом не позднее, чем за 14 календарных дней до даты выплаты девятого купона; дата выплаты по купону  05.02.2013; дата фиксации списка владельцев 25.01.2013.</w:t>
      </w:r>
    </w:p>
    <w:p w:rsidR="00B20811" w:rsidRDefault="00B20811">
      <w:pPr>
        <w:ind w:left="200"/>
      </w:pPr>
      <w:r>
        <w:t>Сведения о предоставленном обеспечении:</w:t>
      </w:r>
      <w:r>
        <w:br/>
      </w:r>
      <w:r>
        <w:rPr>
          <w:rStyle w:val="Subst"/>
        </w:rPr>
        <w:t>Поручителем по данному выпуску Облигаций, является:</w:t>
      </w:r>
      <w:r>
        <w:rPr>
          <w:rStyle w:val="Subst"/>
        </w:rPr>
        <w:br/>
      </w:r>
      <w:r>
        <w:rPr>
          <w:rStyle w:val="Subst"/>
        </w:rPr>
        <w:br/>
        <w:t>Полное фирменное наименование: Закрытое акционерное общество «Далур»</w:t>
      </w:r>
      <w:r>
        <w:rPr>
          <w:rStyle w:val="Subst"/>
        </w:rPr>
        <w:br/>
        <w:t>Сокращенное фирменное наименование: ЗАО «Далур»</w:t>
      </w:r>
      <w:r>
        <w:rPr>
          <w:rStyle w:val="Subst"/>
        </w:rPr>
        <w:br/>
        <w:t>Место нахождения: 641750, Российская Федерация,  Курганская область, Далматовский район, село Уксянское, ул. Ленина дом 42</w:t>
      </w:r>
      <w:r>
        <w:rPr>
          <w:rStyle w:val="Subst"/>
        </w:rPr>
        <w:br/>
        <w:t>Дата государственной регистрации: 13.06.2001</w:t>
      </w:r>
      <w:r>
        <w:rPr>
          <w:rStyle w:val="Subst"/>
        </w:rPr>
        <w:br/>
        <w:t>Номер свидетельства о государственной регистрации: 531</w:t>
      </w:r>
      <w:r>
        <w:rPr>
          <w:rStyle w:val="Subst"/>
        </w:rPr>
        <w:br/>
        <w:t xml:space="preserve">Орган, осуществивший государственную регистрацию: Администрация Далматовского  района Курганской области  </w:t>
      </w:r>
      <w:r>
        <w:rPr>
          <w:rStyle w:val="Subst"/>
        </w:rPr>
        <w:br/>
        <w:t>ОГРН: 1024501452140</w:t>
      </w:r>
      <w:r>
        <w:rPr>
          <w:rStyle w:val="Subst"/>
        </w:rPr>
        <w:br/>
        <w:t xml:space="preserve">Дата регистрации и наименование регистрирующего органа: 15.08.2002г., Межрайонная инспекция МНС РФ №2 по Курганской области </w:t>
      </w:r>
      <w:r>
        <w:rPr>
          <w:rStyle w:val="Subst"/>
        </w:rPr>
        <w:br/>
        <w:t>ИНН: 4506004751</w:t>
      </w:r>
    </w:p>
    <w:p w:rsidR="00B20811" w:rsidRDefault="00B20811">
      <w:pPr>
        <w:ind w:left="200"/>
      </w:pPr>
    </w:p>
    <w:p w:rsidR="00B20811" w:rsidRDefault="00B20811">
      <w:pPr>
        <w:ind w:left="200"/>
      </w:pPr>
    </w:p>
    <w:p w:rsidR="00B20811" w:rsidRDefault="00B20811">
      <w:pPr>
        <w:pStyle w:val="2"/>
      </w:pPr>
      <w:r>
        <w:t>8.3.3. Сведения о выпусках, обязательства эмитента по ценным бумагам которых не исполнены (дефолт)</w:t>
      </w:r>
    </w:p>
    <w:p w:rsidR="00B20811" w:rsidRDefault="00B20811">
      <w:pPr>
        <w:ind w:left="200"/>
      </w:pPr>
      <w:r>
        <w:rPr>
          <w:rStyle w:val="Subst"/>
        </w:rPr>
        <w:t>Указанных выпусков нет</w:t>
      </w:r>
    </w:p>
    <w:p w:rsidR="00B20811" w:rsidRDefault="00B20811">
      <w:pPr>
        <w:pStyle w:val="2"/>
      </w:pPr>
      <w:r>
        <w:t>8.4. Сведения о лице (лицах), предоставившем (предоставивших) обеспечение по облигациям выпуска</w:t>
      </w:r>
    </w:p>
    <w:p w:rsidR="00B20811" w:rsidRDefault="00B20811">
      <w:pPr>
        <w:pStyle w:val="2"/>
      </w:pPr>
      <w:r>
        <w:t>8.5. Условия обеспечения исполнения обязательств по облигациям выпуска</w:t>
      </w:r>
    </w:p>
    <w:p w:rsidR="00B20811" w:rsidRDefault="00B20811">
      <w:pPr>
        <w:ind w:left="200"/>
      </w:pPr>
      <w:r>
        <w:rPr>
          <w:rStyle w:val="Subst"/>
        </w:rPr>
        <w:t>Вид обеспечения: поручительство</w:t>
      </w:r>
      <w:r>
        <w:rPr>
          <w:rStyle w:val="Subst"/>
        </w:rPr>
        <w:br/>
        <w:t>Обеспечение предоставляется Закрытым акционерным обществом «Далур» (Поручитель)  в отношении всех выпускаемых Эмитентом документарных неконвертируемых процентных облигаций на предъявителя серии 01 с обязательным централизованным хранением в количестве 520 000 (Пятьсот двадцать тысяч) штук номинальной стоимостью 1 000 (Одна тысяча) рублей каждая.</w:t>
      </w:r>
      <w:r>
        <w:rPr>
          <w:rStyle w:val="Subst"/>
        </w:rPr>
        <w:br/>
        <w:t>Предельный размер ответственности Поручителя по Обязательствам Эмитента ограничен Предельной Суммой, состоящей из  номинальной стоимости выпуска Облигаций в размере  520 000 000 (Пятьсот двадцать миллионов) рублей, а также суммы, составляющей совокупный купонный доход по 520 000 (Пятьсот двадцать тысяч) Облигаций, определяемый в соответствии с условиями Решения о выпуске ценных бумаг и Проспекта ценных бумаг (далее - Эмиссионные документы).</w:t>
      </w:r>
      <w:r>
        <w:rPr>
          <w:rStyle w:val="Subst"/>
        </w:rPr>
        <w:br/>
      </w:r>
      <w:r>
        <w:rPr>
          <w:rStyle w:val="Subst"/>
        </w:rPr>
        <w:br/>
        <w:t xml:space="preserve">Оферта Поручителя о предоставлении обеспечения в виде поручительства для целей выпуска Облигаций (далее - Оферта) является публичной и адресована всем потенциальным приобретателям Облигаций и выражает волю Поручителя заключить договор о предоставлении поручительства для целей выпуска Облигаций с любым лицом, акцептовавшим Оферту. Оферта </w:t>
      </w:r>
      <w:r>
        <w:rPr>
          <w:rStyle w:val="Subst"/>
        </w:rPr>
        <w:lastRenderedPageBreak/>
        <w:t xml:space="preserve">не может быть отозвана в течение срока, установленного для акцепта Оферты. </w:t>
      </w:r>
      <w:r>
        <w:rPr>
          <w:rStyle w:val="Subst"/>
        </w:rPr>
        <w:br/>
        <w:t>Оферта считается полученной адресатом в момент обеспечения Эмитентом всем потенциальным приобретателям Облигаций возможности доступа к информации о выпуске Облигаций, содержащейся в Решении о выпуске ценных бумаг и Проспекте ценных бумаг и подлежащей раскрытию в соответствии с Федеральным законом «О рынке ценных бумаг» и иными  нормативными правовыми актами Российской Федерации.</w:t>
      </w:r>
      <w:r>
        <w:rPr>
          <w:rStyle w:val="Subst"/>
        </w:rPr>
        <w:br/>
        <w:t>Акцепт Оферты производится путем приобретения одной или нескольких Облигаций в порядке,  на условиях и в сроки, определенные  Решением о выпуске ценных бумаг и Проспектом ценных бумаг.</w:t>
      </w:r>
      <w:r>
        <w:rPr>
          <w:rStyle w:val="Subst"/>
        </w:rPr>
        <w:br/>
        <w:t>Приобретение Облигаций означает заключение приобретателем Облигаций с Поручителем договора поручительства, по которому Поручитель обязывается перед приобретателем Облигаций отвечать за исполнение Эмитентом его обязательств перед Владельцем Облигаций на условиях, установленных Офертами, при этом письменная форма договора поручительства считается соблюденной.</w:t>
      </w:r>
      <w:r>
        <w:rPr>
          <w:rStyle w:val="Subst"/>
        </w:rPr>
        <w:br/>
        <w:t>Облигация с обеспечением предоставляет ее владельцу все права, возникающие из такого обеспечения.</w:t>
      </w:r>
      <w:r>
        <w:rPr>
          <w:rStyle w:val="Subst"/>
        </w:rPr>
        <w:br/>
        <w:t xml:space="preserve">С переходом прав на облигацию с обеспечением к новому Владельцу (приобретателю) переходят все права, вытекающие из такого обеспечения в том же объеме и на тех же условиях, которые существуют на момент перехода прав на Облигацию. </w:t>
      </w:r>
      <w:r>
        <w:rPr>
          <w:rStyle w:val="Subst"/>
        </w:rPr>
        <w:br/>
        <w:t>Передача прав, возникших из предоставленного обеспечения, без передачи прав на облигацию является недействительной.</w:t>
      </w:r>
      <w:r>
        <w:rPr>
          <w:rStyle w:val="Subst"/>
        </w:rPr>
        <w:br/>
        <w:t>За неисполнение или ненадлежащее исполнение Эмитентом обязательств по выплате купонного дохода и номинальной стоимости Облигаций при их погашении, а также обязательств по приобретению Эмитентом Облигаций по требованию их Владельцев, Поручитель  и Эмитент отвечают перед Владельцами Облигаций солидарно.</w:t>
      </w:r>
      <w:r>
        <w:rPr>
          <w:rStyle w:val="Subst"/>
        </w:rPr>
        <w:br/>
      </w:r>
      <w:r>
        <w:rPr>
          <w:rStyle w:val="Subst"/>
        </w:rPr>
        <w:br/>
        <w:t xml:space="preserve">Объем, в котором поручитель отвечает перед владельцами облигаций, обеспеченных поручительством, в случае неисполнения или ненадлежащего исполнения Эмитентом обязательств по облигациям (размер обеспечения): </w:t>
      </w:r>
      <w:r>
        <w:rPr>
          <w:rStyle w:val="Subst"/>
        </w:rPr>
        <w:br/>
        <w:t>Обеспечение предоставляется Закрытым акционерным обществом «Далур» (Поручитель)  в отношении всех выпускаемых Эмитентом документарных неконвертируемых процентных облигаций на предъявителя серии 01 с обязательным централизованным хранением в количестве 520 000 (Пятьсот двадцать тысяч) штук номинальной стоимостью 1 000 (Одна тысяча) рублей каждая.</w:t>
      </w:r>
      <w:r>
        <w:rPr>
          <w:rStyle w:val="Subst"/>
        </w:rPr>
        <w:br/>
        <w:t>Предельный размер ответственности Поручителя по Обязательствам Эмитента ограничен Предельной Суммой, состоящей из  номинальной стоимости выпуска Облигаций в размере  520 000 000 (Пятьсот двадцать миллионов) рублей, а также суммы, составляющей совокупный купонный доход по 520 000 (Пятьсот двадцать тысяч) Облигаций, определяемый в соответствии с условиями Решения о выпуске ценных бумаг и Проспекта ценных бумаг (далее - Эмиссионные документы).</w:t>
      </w:r>
      <w:r>
        <w:rPr>
          <w:rStyle w:val="Subst"/>
        </w:rPr>
        <w:br/>
      </w:r>
      <w:r>
        <w:rPr>
          <w:rStyle w:val="Subst"/>
        </w:rPr>
        <w:br/>
        <w:t>Порядок предъявления требований к поручителю в случае неисполнения или ненадлежащего исполнения Эмитентом обязательств перед владельцами облигаций:</w:t>
      </w:r>
      <w:r>
        <w:rPr>
          <w:rStyle w:val="Subst"/>
        </w:rPr>
        <w:br/>
        <w:t>Поручитель обязуется исполнить за Эмитента обязательства Эмитента перед Владельцами Облигаций (далее - Обязательства эмитента) в той части, в которой Эмитент не исполнил обязательства (далее - Объем Неисполненных Обязательств) в следующих случаях (далее - События Неисполнения Обязательств):</w:t>
      </w:r>
      <w:r>
        <w:rPr>
          <w:rStyle w:val="Subst"/>
        </w:rPr>
        <w:br/>
        <w:t xml:space="preserve">- Эмитент не выплатил или выплатил не в полном объеме Владельцам Облигаций купонный доход в виде процентов к номинальной стоимости Облигаций в размере и в сроки, определенные в соответствии с пунктами 9.3.-9.4. Решения о выпуске ценных бумаг и пунктом 9.1.2. Проспекта ценных бумаг; </w:t>
      </w:r>
      <w:r>
        <w:rPr>
          <w:rStyle w:val="Subst"/>
        </w:rPr>
        <w:br/>
        <w:t>- Эмитент не выплатил или выплатил не в полном объеме Владельцам Облигаций основную сумму долга в виде номинальной стоимости Облигаций при их погашении в срок, определенный в соответствии с пунктом 9.2. Решения о выпуске ценных бумаг и пунктом 9.1.2. Проспекта ценных бумаг;</w:t>
      </w:r>
      <w:r>
        <w:rPr>
          <w:rStyle w:val="Subst"/>
        </w:rPr>
        <w:br/>
        <w:t>- Эмитент не выполнил или выполнил не в полном объеме свои обязательства по приобретению  Облигаций по требованию их Владельцев, в соответствии с пунктом 10. Решения о выпуске ценных бумаг и пунктом 9.1.2. Проспекта ценных бумаг.</w:t>
      </w:r>
      <w:r>
        <w:rPr>
          <w:rStyle w:val="Subst"/>
        </w:rPr>
        <w:br/>
        <w:t>Поручитель обязуется в соответствии с условиями Оферты исполнить не исполненные Эмитентом Обязательства Эмитента в Объеме Неисполненных Обязательств и в пределах Предельной Суммы. Объем Неисполненных Обязательств определяется Поручителем в соответствии с полученными от Владельцев Облигаций требованиям (далее - Требованиями об Исполнении Обязательств).</w:t>
      </w:r>
      <w:r>
        <w:rPr>
          <w:rStyle w:val="Subst"/>
        </w:rPr>
        <w:br/>
      </w:r>
      <w:r>
        <w:rPr>
          <w:rStyle w:val="Subst"/>
        </w:rPr>
        <w:lastRenderedPageBreak/>
        <w:br/>
        <w:t>Требование об Исполнении Обязательств должно быть предъявлено Поручителю в письменной форме и подписано Владельцем Облигаций (его уполномоченными лицами).</w:t>
      </w:r>
      <w:r>
        <w:rPr>
          <w:rStyle w:val="Subst"/>
        </w:rPr>
        <w:br/>
        <w:t xml:space="preserve">В Требовании об Исполнении Обязательств должны быть указаны: </w:t>
      </w:r>
      <w:r>
        <w:rPr>
          <w:rStyle w:val="Subst"/>
        </w:rPr>
        <w:br/>
        <w:t>- фамилия, имя, отчество или полное наименование Владельца Облигаций;</w:t>
      </w:r>
      <w:r>
        <w:rPr>
          <w:rStyle w:val="Subst"/>
        </w:rPr>
        <w:br/>
        <w:t>- ИНН Владельца Облигаций;</w:t>
      </w:r>
      <w:r>
        <w:rPr>
          <w:rStyle w:val="Subst"/>
        </w:rPr>
        <w:br/>
        <w:t xml:space="preserve">- налоговый статус Владельца Облигаций; </w:t>
      </w:r>
      <w:r>
        <w:rPr>
          <w:rStyle w:val="Subst"/>
        </w:rPr>
        <w:br/>
        <w:t xml:space="preserve">- место жительства (место нахождения) Владельца Облигаций; </w:t>
      </w:r>
      <w:r>
        <w:rPr>
          <w:rStyle w:val="Subst"/>
        </w:rPr>
        <w:br/>
        <w:t>- реквизиты банковского счета Владельца Облигаций;</w:t>
      </w:r>
      <w:r>
        <w:rPr>
          <w:rStyle w:val="Subst"/>
        </w:rPr>
        <w:br/>
        <w:t>- объем Неисполненных Обязательств в отношении Владельца Облигаций, направляющего данное Требование об Исполнении Обязательств.</w:t>
      </w:r>
      <w:r>
        <w:rPr>
          <w:rStyle w:val="Subst"/>
        </w:rPr>
        <w:br/>
        <w:t>В Требовании об Исполнении Обязательств должно быть указано, что Эмитент не выплатил Владельцу Облигаций или выплатил не в полном объеме в сроки, установленные Эмиссионными Документами:</w:t>
      </w:r>
      <w:r>
        <w:rPr>
          <w:rStyle w:val="Subst"/>
        </w:rPr>
        <w:br/>
        <w:t xml:space="preserve">- основную сумму долга при погашении Облигаций; </w:t>
      </w:r>
      <w:r>
        <w:rPr>
          <w:rStyle w:val="Subst"/>
        </w:rPr>
        <w:br/>
        <w:t>- купонный доход в виде процентов к номинальной стоимости Облигаций;</w:t>
      </w:r>
      <w:r>
        <w:rPr>
          <w:rStyle w:val="Subst"/>
        </w:rPr>
        <w:br/>
        <w:t>- денежные средства по обязательству Эмитента по приобретению  Облигаций по требованию  их Владельцев.</w:t>
      </w:r>
      <w:r>
        <w:rPr>
          <w:rStyle w:val="Subst"/>
        </w:rPr>
        <w:br/>
        <w:t xml:space="preserve"> К Требованию об Исполнении Обязательств должна быть приложена подтверждающая права Владельца Облигаций на его Облигации выписка со счета ДЕПО в Депозитарии или Депозитариях  по состоянию на Дату составления Перечня  Владельцев и/или номинальных держателей Облигаций для целей выплаты купонного дохода по Облигациям, определяемую в соответствии с пунктом  9.4. Решения о выпуске ценных бумаг и пунктом 9.1.2. Проспекта ценных бумаг. </w:t>
      </w:r>
      <w:r>
        <w:rPr>
          <w:rStyle w:val="Subst"/>
        </w:rPr>
        <w:br/>
      </w:r>
      <w:r>
        <w:rPr>
          <w:rStyle w:val="Subst"/>
        </w:rPr>
        <w:br/>
        <w:t>В случае предъявления требования, предполагающего погашение Облигаций, должна быть приложена копия отчета НДЦ, заверенная депозитарием, о переводе Облигаций в раздел счета депо, предназначенный для блокировки ценных бумаг при погашении.</w:t>
      </w:r>
      <w:r>
        <w:rPr>
          <w:rStyle w:val="Subst"/>
        </w:rPr>
        <w:br/>
        <w:t xml:space="preserve">Требование об Исполнении Обязательств и приложенные к нему документы должны быть направлены Поручителю заказным письмом, курьерской почтой или экспресс почтой. </w:t>
      </w:r>
      <w:r>
        <w:rPr>
          <w:rStyle w:val="Subst"/>
        </w:rPr>
        <w:br/>
        <w:t>Требование об Исполнении Обязательств должно быть предъявлено Поручителю не позднее 90 дней со дня наступления соответствующего Срока Исполнения Обязательств Эмитента в отношении Владельца Облигаций, направляющего данное Требование об Исполнении Обязательств. Датой предъявления требования считается дата получения требования  Поручителем.</w:t>
      </w:r>
      <w:r>
        <w:rPr>
          <w:rStyle w:val="Subst"/>
        </w:rPr>
        <w:br/>
        <w:t>Поручитель рассматривает Требование об Исполнении Обязательств в течение 14 (Четырнадцати) дней с даты предъявления Поручителю Требования.</w:t>
      </w:r>
      <w:r>
        <w:rPr>
          <w:rStyle w:val="Subst"/>
        </w:rPr>
        <w:br/>
        <w:t xml:space="preserve">При этом Поручитель вправе выдвигать против Требования об Исполнении Обязательств любые возражения, которые мог бы представить Эмитент, и не теряет право на эти возражения даже в том случае, если Эмитент от них отказался или признал свой долг. </w:t>
      </w:r>
      <w:r>
        <w:rPr>
          <w:rStyle w:val="Subst"/>
        </w:rPr>
        <w:br/>
        <w:t>Не рассматриваются Требования об Исполнении Обязательств, предъявленные Поручителю позднее 90 (Девяносто) дней со дня наступления соответствующего Срока Исполнения Обязательств Эмитента,  в отношении Владельцев Облигаций, направивших данное Требование об Исполнении Обязательств.</w:t>
      </w:r>
      <w:r>
        <w:rPr>
          <w:rStyle w:val="Subst"/>
        </w:rPr>
        <w:br/>
        <w:t>В случае удовлетворения Поручителем Требования об Исполнении Обязательств, Поручитель уведомляет об этом Владельца Облигаций и в течение 30 (Тридцать) дней со дня истечения вышеуказанного срока рассмотрения Требования об Исполнении Обязательств производит платеж в соответствии с условиями Оферты на банковский счет Владельца Облигаций, реквизиты которого указаны в Требовании об Исполнении Обязательств.</w:t>
      </w:r>
      <w:r>
        <w:rPr>
          <w:rStyle w:val="Subst"/>
        </w:rPr>
        <w:br/>
        <w:t>В отношении Облигаций, в требовании о погашении которых удовлетворено или в требовании о погашении которых отказано, Общество направляет соответствующую информацию об удовлетворении/отказе в удовлетворении Требования в НДЦ (с указанием наименования, Ф.И.О. владельца, количества Облигаций, наименования депозитария, в котором открыт счет депо владельцу).</w:t>
      </w:r>
      <w:r>
        <w:rPr>
          <w:rStyle w:val="Subst"/>
        </w:rPr>
        <w:br/>
        <w:t xml:space="preserve">Предусмотренное Офертой поручительство вступает в силу с момента заключения приобретателем Облигаций договора поручительства с Поручителем в соответствии с условиями Оферты. </w:t>
      </w:r>
      <w:r>
        <w:rPr>
          <w:rStyle w:val="Subst"/>
        </w:rPr>
        <w:br/>
        <w:t>Предусмотренное Офертой  поручительство прекращаются:</w:t>
      </w:r>
      <w:r>
        <w:rPr>
          <w:rStyle w:val="Subst"/>
        </w:rPr>
        <w:br/>
        <w:t xml:space="preserve">- по истечении 90 (Девяносто) дней со дня наступления Срока Исполнения Обязательств Эмитента, если в течение этого срока Владельцем Облигаций не будет предъявлено Требование об Исполнении Обязательств в порядке, предусмотренном Офертой; </w:t>
      </w:r>
      <w:r>
        <w:rPr>
          <w:rStyle w:val="Subst"/>
        </w:rPr>
        <w:br/>
        <w:t xml:space="preserve">- надлежащим исполнением Поручителем своих обязательств, установленных Офертой, перед Владельцами Облигаций, предъявившими свои Требования об Исполнении Обязательств в порядке </w:t>
      </w:r>
      <w:r>
        <w:rPr>
          <w:rStyle w:val="Subst"/>
        </w:rPr>
        <w:lastRenderedPageBreak/>
        <w:t>и сроки, установленные Офертой;</w:t>
      </w:r>
      <w:r>
        <w:rPr>
          <w:rStyle w:val="Subst"/>
        </w:rPr>
        <w:br/>
        <w:t>- в случае изменения срока исполнения Обязательств Эмитента, продления   такого срока, любой пролонгации Обязательств Эмитента или любой их реструктуризации в любом виде, а также в случае любого иного изменения Обязательств Эмитента, влекущего увеличение ответственности или иные неблагоприятные последствия для Поручителя, совершенного без согласия Поручителя;</w:t>
      </w:r>
      <w:r>
        <w:rPr>
          <w:rStyle w:val="Subst"/>
        </w:rPr>
        <w:br/>
        <w:t>- по иным основаниям, установленным действующим законодательством Российской Федерации.</w:t>
      </w:r>
      <w:r>
        <w:rPr>
          <w:rStyle w:val="Subst"/>
        </w:rPr>
        <w:br/>
        <w:t>Все вопросы отношений Поручителя и Владельцев Облигаций, касающиеся Облигаций и не урегулированные Офертой, регулируются Эмиссионными Документами, понимаются и толкуются в соответствии с ними.</w:t>
      </w:r>
      <w:r>
        <w:rPr>
          <w:rStyle w:val="Subst"/>
        </w:rPr>
        <w:br/>
        <w:t>В случае неисполнения или ненадлежащего исполнения своих обязательств по Оферте Поручитель  несет ответственность в соответствии с действующим законодательством.</w:t>
      </w:r>
      <w:r>
        <w:rPr>
          <w:rStyle w:val="Subst"/>
        </w:rPr>
        <w:br/>
        <w:t>Споры в связи с Офертой подлежат рассмотрению в Арбитражном суде г. Москвы.</w:t>
      </w:r>
      <w:r>
        <w:rPr>
          <w:rStyle w:val="Subst"/>
        </w:rPr>
        <w:br/>
        <w:t>Оферта Поручителя  составлена в двух подлинных экземплярах, один из которых находится у Поручителя, второй хранится у Эмитента по месту их  нахождения.</w:t>
      </w:r>
      <w:r>
        <w:rPr>
          <w:rStyle w:val="Subst"/>
        </w:rPr>
        <w:br/>
      </w:r>
      <w:r>
        <w:rPr>
          <w:rStyle w:val="Subst"/>
        </w:rPr>
        <w:br/>
        <w:t>В случае невозможности получения Владельцами Облигаций, обеспеченных поручительством, удовлетворения требований по принадлежащим им облигациям, предъявленных Эмитенту и/или поручителю, Владельцы Облигаций вправе обратиться в суд или арбитражный суд с иском к Эмитенту и/или Поручителю.</w:t>
      </w:r>
      <w:r>
        <w:rPr>
          <w:rStyle w:val="Subst"/>
        </w:rPr>
        <w:br/>
      </w:r>
      <w:r>
        <w:rPr>
          <w:rStyle w:val="Subst"/>
        </w:rPr>
        <w:br/>
        <w:t>Иные условия обеспечения исполнения обязательств по облигациям: нет.</w:t>
      </w:r>
      <w:r>
        <w:rPr>
          <w:rStyle w:val="Subst"/>
        </w:rPr>
        <w:br/>
      </w:r>
      <w:r>
        <w:rPr>
          <w:rStyle w:val="Subst"/>
        </w:rPr>
        <w:br/>
        <w:t>Порядок уведомления (раскрытия информации) об изменении условий обеспечения исполнения обязательств по облигациям, происходящих по причинам, не зависящим от эмитента или владельцев облигаций с обеспечением (реорганизация, ликвидация или банкротство лица, предоставившего обеспечение, иное):</w:t>
      </w:r>
      <w:r>
        <w:rPr>
          <w:rStyle w:val="Subst"/>
        </w:rPr>
        <w:br/>
        <w:t>- в ленте новостей - не позднее 1 дня;</w:t>
      </w:r>
      <w:r>
        <w:rPr>
          <w:rStyle w:val="Subst"/>
        </w:rPr>
        <w:br/>
        <w:t>- на странице в сети Интернет по адресу www.rusfund.ru - не позднее 2 дней.</w:t>
      </w:r>
      <w:r>
        <w:rPr>
          <w:rStyle w:val="Subst"/>
        </w:rPr>
        <w:br/>
      </w:r>
      <w:r>
        <w:rPr>
          <w:rStyle w:val="Subst"/>
        </w:rPr>
        <w:br/>
        <w:t>Облигация с обеспечением предоставляет ее владельцу все права, возникающие из такого обеспечения.</w:t>
      </w:r>
      <w:r>
        <w:rPr>
          <w:rStyle w:val="Subst"/>
        </w:rPr>
        <w:br/>
      </w:r>
      <w:r>
        <w:rPr>
          <w:rStyle w:val="Subst"/>
        </w:rPr>
        <w:br/>
        <w:t>С переходом прав на облигацию с обеспечением к новому владельцу (приобретателю) переходят все права, вытекающие из такого обеспечения.</w:t>
      </w:r>
      <w:r>
        <w:rPr>
          <w:rStyle w:val="Subst"/>
        </w:rPr>
        <w:br/>
      </w:r>
      <w:r>
        <w:rPr>
          <w:rStyle w:val="Subst"/>
        </w:rPr>
        <w:br/>
        <w:t>Передача прав, возникших из предоставленного обеспечения, без передачи прав на облигацию является недействительной.</w:t>
      </w:r>
      <w:r>
        <w:rPr>
          <w:rStyle w:val="Subst"/>
        </w:rPr>
        <w:br/>
      </w:r>
      <w:r>
        <w:rPr>
          <w:rStyle w:val="Subst"/>
        </w:rPr>
        <w:br/>
        <w:t>В случае неисполнения или ненадлежащего исполнения эмитентом обязательств по облигациям, поручители и эмитент несут солидарную ответственность.</w:t>
      </w:r>
      <w:r>
        <w:rPr>
          <w:rStyle w:val="Subst"/>
        </w:rPr>
        <w:br/>
      </w:r>
      <w:r>
        <w:rPr>
          <w:rStyle w:val="Subst"/>
        </w:rPr>
        <w:br/>
        <w:t>Договор поручительства, которым обеспечивается исполнение обязательств по облигациям, считается заключенным с момента возникновения у их первого владельца прав на такие облигации, при этом письменная форма договора поручительства считается соблюденной.</w:t>
      </w:r>
      <w:r>
        <w:rPr>
          <w:rStyle w:val="Subst"/>
        </w:rPr>
        <w:br/>
      </w:r>
    </w:p>
    <w:p w:rsidR="00B20811" w:rsidRDefault="00B20811">
      <w:pPr>
        <w:ind w:left="200"/>
      </w:pPr>
      <w:r>
        <w:t>способ предоставленного обеспечения (залог, поручительство, банковская гарантия, государственная или муниципальная гарантия, иное).</w:t>
      </w:r>
      <w:r>
        <w:br/>
        <w:t>Для облигаций, обеспеченных залогом, указывается:</w:t>
      </w:r>
      <w:r>
        <w:br/>
        <w:t>предмет залога:</w:t>
      </w:r>
      <w:r>
        <w:br/>
        <w:t>для ценных бумаг, являющихся предметом залога, - вид, категория (тип), серия (если имеется), наименование эмитента, форма, государственный регистрационный номер и дата государственной регистрации выпуска ценных бумаг, орган, осуществивший государственную регистрацию выпуска ценных бумаг, номинальная стоимость ценных бумаг (в случае, если в соответствии с законодательством Российской Федерации закладываемые ценные бумаги имеют номинальную стоимость), количество ценных бумаг, иные обязательные реквизиты ценных бумаг, установленные законодательством Российской Федерации, количество ценных бумаг, права владельцев ценных бумаг, информация о наименовании, месте нахождения и почтовом адресе и контактном телефоне регистратора или депозитария, в котором учитываются права на ценные бумаги, информация о дате установления залога на ценные бумаги в реестре владельцев ценных бумаг, а если ценные бумаги выпущены на предъявителя и в отношении их установлено обязательное централизованное хранение - в системе учета прав депозитария, осуществляющего такое хранение, информация о любых существующих обременениях на закладываемые ценные бумаги;</w:t>
      </w:r>
      <w:r>
        <w:br/>
      </w:r>
      <w:r>
        <w:lastRenderedPageBreak/>
        <w:t>для недвижимого имущества, являющегося предметом залога, - право залогодателя на закладываемое имущество (право собственности или право хозяйственного ведения), номер свидетельства на право собственности, дата выдачи и орган, выдавший свидетельство на право собственности на закладываемое недвижимое имущество, номер свидетельства на право собственности, дата выдачи и орган, выдавший свидетельство на право собственности на закладываемое недвижимое имущество, кадастровый (условный) номер объекта недвижимого имущества или указание на то, что кадастровый (условный) номер не присвоен, и причины данного обстоятельства, номер регистрации, за которым осуществлена государственная регистрация права собственности или права хозяйственного ведения на объект недвижимого имущества в Едином государственном реестре прав на недвижимое имущество и сделок с ним, дата государственной регистрации права или указание на то, что государственная регистрация права собственности или права хозяйственного ведения на объект недвижимого имущества в Едином государственном реестре прав на недвижимое имущество и сделок с ним не осуществлялась, и причины данного обстоятельства, номер регистрации, за которым осуществлена государственная регистрация залога на объект недвижимого имущества в Едином государственном реестре прав на недвижимое имущество и сделок с ним в пользу владельцев облигаций выпуска ценных бумаг, дата государственной регистрации залога, вид и место нахождения закладываемого недвижимого имущества (в том числе область использования недвижимого имущества, общая и полезная площадь недвижимого имущества, год создания (постройки) недвижимого имущества, а если производилась реконструкция или ремонт недвижимого имущества - также год проведения последней реконструкции или ремонта), сведения о любых существующих обременениях на закладываемое недвижимое имущество (включая сведения о регистрации обременений);</w:t>
      </w:r>
      <w:r>
        <w:br/>
        <w:t>указание стоимости заложенного имущества;</w:t>
      </w:r>
      <w:r>
        <w:br/>
        <w:t>указание стоимости заложенного имущества по оценке, осуществленной оценщиком, с указанием даты проведения оценки, полного наименования (фамилии, имени, отчества), номера лицензии, места нахождения, почтового адреса и контактного телефона оценщика, осуществившего оценку закладываемого имущества;</w:t>
      </w:r>
      <w:r>
        <w:br/>
        <w:t>объем требований владельцев облигаций, обеспечиваемых залогом (выплата номинальной стоимости (иного имущественного эквивалента), выплата процентного (купонного) дохода по облигациям, осуществление иных имущественных прав, предоставляемых облигациями);</w:t>
      </w:r>
      <w:r>
        <w:br/>
        <w:t>сведения о страховании предмета залога (наименование страховщика страхователя и выгодоприобретателя, их место нахождения, размер страховой суммы, описание страхового случая, срок действия договора страхования, дата подписания договора), если таковое проводилось;</w:t>
      </w:r>
      <w:r>
        <w:br/>
        <w:t>порядок обращения взыскания на предмет залога;</w:t>
      </w:r>
      <w:r>
        <w:br/>
        <w:t>иные условия залога.</w:t>
      </w:r>
      <w:r>
        <w:br/>
        <w:t>Для облигаций, обеспеченных поручительством, указывается:</w:t>
      </w:r>
      <w:r>
        <w:br/>
        <w:t>объем, в котором поручитель отвечает перед владельцами облигаций, обеспеченных поручительством, в случае неисполнения или ненадлежащего исполнения эмитентом обязательств по облигациям (выплата номинальной стоимости (иного имущественного эквивалента), выплата процентного (купонного) дохода по облигациям, осуществление иных имущественных прав, предоставляемых облигациями);</w:t>
      </w:r>
      <w:r>
        <w:br/>
        <w:t>порядок предъявления владельцами облигаций требований к поручителю.</w:t>
      </w:r>
      <w:r>
        <w:br/>
        <w:t>В случае если поручительство предоставляется юридическим лицом, указываются также следующие сведения:</w:t>
      </w:r>
      <w:r>
        <w:br/>
        <w:t>размер стоимости чистых активов эмитента на последнюю отчетную дату перед предоставлением поручительства;</w:t>
      </w:r>
      <w:r>
        <w:br/>
        <w:t xml:space="preserve">размер стоимости чистых активов юридического лица, предоставившего поручительство, на последнюю отчетную дату перед предоставлением поручительства; </w:t>
      </w:r>
      <w:r>
        <w:br/>
        <w:t>размер стоимости чистых активов юридического лица, предоставившего поручительство, на дату окончания отчетного квартала.</w:t>
      </w:r>
      <w:r>
        <w:br/>
        <w:t>Для облигаций, обеспеченных банковской гарантией, указывается:</w:t>
      </w:r>
      <w:r>
        <w:br/>
        <w:t>дата выдачи банковской гарантии;</w:t>
      </w:r>
      <w:r>
        <w:br/>
        <w:t>сумма банковской гарантии;</w:t>
      </w:r>
      <w:r>
        <w:br/>
        <w:t>содержание банковской гарантии;</w:t>
      </w:r>
      <w:r>
        <w:br/>
        <w:t>срок, на который выдана банковская гарантия;</w:t>
      </w:r>
      <w:r>
        <w:br/>
        <w:t>порядок предъявления владельцами облигаций требований по банковской гарантии;</w:t>
      </w:r>
      <w:r>
        <w:br/>
        <w:t>иные существенные условия банковской гарантии.</w:t>
      </w:r>
      <w:r>
        <w:br/>
        <w:t>Для облигаций, обеспеченных государственной или муниципальной гарантией, указывается:</w:t>
      </w:r>
      <w:r>
        <w:br/>
        <w:t>орган, принявший решение об обеспечении исполнения от имени Российской Федерации (субъекта Российской Федерации, муниципального образования) обязательств по облигациям, и дату принятия такого решения;</w:t>
      </w:r>
      <w:r>
        <w:br/>
        <w:t>сведения о гаранте, включающие его наименование (Российская Федерация, субъект Российской Федерации, муниципальное образование) и наименование органа, выдавшего гарантию от имени указанного гаранта;</w:t>
      </w:r>
      <w:r>
        <w:br/>
      </w:r>
      <w:r>
        <w:lastRenderedPageBreak/>
        <w:t>дата выдачи гарантии;</w:t>
      </w:r>
      <w:r>
        <w:br/>
        <w:t>объем обязательств по гарантии;</w:t>
      </w:r>
      <w:r>
        <w:br/>
        <w:t>срок, на который выдана гарантия;</w:t>
      </w:r>
      <w:r>
        <w:br/>
        <w:t>порядок предъявления требований к гаранту по исполнению гарантийных обязательств;</w:t>
      </w:r>
      <w:r>
        <w:br/>
        <w:t>иные условия предоставления гарантии</w:t>
      </w:r>
      <w:r>
        <w:br/>
      </w:r>
      <w:r>
        <w:tab/>
      </w:r>
      <w:r>
        <w:tab/>
      </w:r>
    </w:p>
    <w:p w:rsidR="00B20811" w:rsidRDefault="00B20811">
      <w:pPr>
        <w:pStyle w:val="2"/>
      </w:pPr>
      <w:r>
        <w:t>8.5.1. Условия обеспечения исполнения обязательств по облигациям с ипотечным покрытием</w:t>
      </w:r>
    </w:p>
    <w:p w:rsidR="00B20811" w:rsidRDefault="00B20811">
      <w:pPr>
        <w:ind w:left="200"/>
      </w:pPr>
      <w:r>
        <w:rPr>
          <w:rStyle w:val="Subst"/>
        </w:rPr>
        <w:t>Эмитент не размещал облигации с ипотечным покрытием, обязательства по которым еще не исполнены</w:t>
      </w:r>
    </w:p>
    <w:p w:rsidR="00B20811" w:rsidRDefault="00B20811">
      <w:pPr>
        <w:pStyle w:val="2"/>
      </w:pPr>
      <w:r>
        <w:t>8.6. Сведения об организациях, осуществляющих учет прав на эмиссионные ценные бумаги эмитента</w:t>
      </w:r>
    </w:p>
    <w:p w:rsidR="00B20811" w:rsidRDefault="00B20811">
      <w:pPr>
        <w:ind w:left="200"/>
      </w:pPr>
      <w:r>
        <w:rPr>
          <w:rStyle w:val="Subst"/>
        </w:rPr>
        <w:t>В связи с отсутствием в обращении именных ценных бумаг эмитента, ведение реестра не осуществляется</w:t>
      </w:r>
    </w:p>
    <w:p w:rsidR="00B20811" w:rsidRDefault="00B20811">
      <w:pPr>
        <w:ind w:left="200"/>
      </w:pPr>
      <w:r>
        <w:rPr>
          <w:rStyle w:val="Subst"/>
        </w:rPr>
        <w:t>В обращении находятся документарные ценные бумаги эмитента с обязательным централизованным хранением</w:t>
      </w:r>
    </w:p>
    <w:p w:rsidR="00B20811" w:rsidRDefault="00B20811">
      <w:pPr>
        <w:pStyle w:val="SubHeading"/>
        <w:ind w:left="200"/>
      </w:pPr>
      <w:r>
        <w:t>Депозитарии</w:t>
      </w:r>
    </w:p>
    <w:p w:rsidR="00B20811" w:rsidRDefault="00B20811">
      <w:pPr>
        <w:ind w:left="400"/>
      </w:pPr>
      <w:r>
        <w:t>Полное фирменное наименование:</w:t>
      </w:r>
      <w:r>
        <w:rPr>
          <w:rStyle w:val="Subst"/>
        </w:rPr>
        <w:t xml:space="preserve"> Закрытое акционерное общество «Национальный депозитарный центр»</w:t>
      </w:r>
    </w:p>
    <w:p w:rsidR="00B20811" w:rsidRDefault="00B20811">
      <w:pPr>
        <w:ind w:left="400"/>
      </w:pPr>
      <w:r>
        <w:t>Сокращенное фирменное наименование:</w:t>
      </w:r>
      <w:r>
        <w:rPr>
          <w:rStyle w:val="Subst"/>
        </w:rPr>
        <w:t xml:space="preserve"> ЗАО НДЦ</w:t>
      </w:r>
    </w:p>
    <w:p w:rsidR="00B20811" w:rsidRDefault="00B20811">
      <w:pPr>
        <w:ind w:left="400"/>
      </w:pPr>
      <w:r>
        <w:t>Место нахождения:</w:t>
      </w:r>
      <w:r>
        <w:rPr>
          <w:rStyle w:val="Subst"/>
        </w:rPr>
        <w:t xml:space="preserve"> г. Москва, Средний Кисловский пер., д. 1/13, стр. 4</w:t>
      </w:r>
    </w:p>
    <w:p w:rsidR="00B20811" w:rsidRDefault="00B20811">
      <w:pPr>
        <w:ind w:left="400"/>
      </w:pPr>
      <w:r>
        <w:t>ИНН:</w:t>
      </w:r>
      <w:r>
        <w:rPr>
          <w:rStyle w:val="Subst"/>
        </w:rPr>
        <w:t xml:space="preserve"> 7703394070</w:t>
      </w:r>
    </w:p>
    <w:p w:rsidR="00B20811" w:rsidRDefault="00B20811">
      <w:pPr>
        <w:ind w:left="400"/>
      </w:pPr>
      <w:r>
        <w:t>ОГРН:</w:t>
      </w:r>
      <w:r>
        <w:rPr>
          <w:rStyle w:val="Subst"/>
        </w:rPr>
        <w:t xml:space="preserve"> 1097799013256</w:t>
      </w:r>
    </w:p>
    <w:p w:rsidR="00B20811" w:rsidRDefault="00B20811">
      <w:pPr>
        <w:ind w:left="400"/>
      </w:pPr>
    </w:p>
    <w:p w:rsidR="00B20811" w:rsidRDefault="00B20811">
      <w:pPr>
        <w:pStyle w:val="SubHeading"/>
        <w:ind w:left="400"/>
      </w:pPr>
      <w:r>
        <w:t>Данные о лицензии на осуществление деятельности депозитария на рынке ценных бумаг</w:t>
      </w:r>
    </w:p>
    <w:p w:rsidR="00B20811" w:rsidRDefault="00B20811">
      <w:pPr>
        <w:ind w:left="600"/>
      </w:pPr>
      <w:r>
        <w:t>Номер:</w:t>
      </w:r>
      <w:r>
        <w:rPr>
          <w:rStyle w:val="Subst"/>
        </w:rPr>
        <w:t xml:space="preserve"> 177-03431-000100</w:t>
      </w:r>
    </w:p>
    <w:p w:rsidR="00B20811" w:rsidRDefault="00B20811">
      <w:pPr>
        <w:ind w:left="600"/>
      </w:pPr>
      <w:r>
        <w:t>Дата выдачи:</w:t>
      </w:r>
      <w:r>
        <w:rPr>
          <w:rStyle w:val="Subst"/>
        </w:rPr>
        <w:t xml:space="preserve"> 04.12.2000</w:t>
      </w:r>
    </w:p>
    <w:p w:rsidR="00B20811" w:rsidRDefault="00B20811">
      <w:pPr>
        <w:ind w:left="600"/>
      </w:pPr>
      <w:r>
        <w:t>Дата окончания действия:</w:t>
      </w:r>
    </w:p>
    <w:p w:rsidR="00B20811" w:rsidRDefault="00B20811">
      <w:pPr>
        <w:ind w:left="800"/>
      </w:pPr>
      <w:r>
        <w:rPr>
          <w:rStyle w:val="Subst"/>
        </w:rPr>
        <w:t>Бессрочная</w:t>
      </w:r>
    </w:p>
    <w:p w:rsidR="00B20811" w:rsidRDefault="00B20811">
      <w:pPr>
        <w:ind w:left="600"/>
      </w:pPr>
      <w:r>
        <w:t>Наименование органа, выдавшего лицензию:</w:t>
      </w:r>
      <w:r>
        <w:rPr>
          <w:rStyle w:val="Subst"/>
        </w:rPr>
        <w:t xml:space="preserve"> ФКЦБ (ФСФР) России</w:t>
      </w:r>
    </w:p>
    <w:p w:rsidR="00B20811" w:rsidRDefault="00B20811">
      <w:pPr>
        <w:ind w:left="400"/>
      </w:pPr>
    </w:p>
    <w:p w:rsidR="00B20811" w:rsidRDefault="00B20811">
      <w:pPr>
        <w:pStyle w:val="ThinDelim"/>
      </w:pPr>
    </w:p>
    <w:p w:rsidR="00B20811" w:rsidRDefault="00B20811">
      <w:pPr>
        <w:ind w:left="200"/>
      </w:pPr>
    </w:p>
    <w:p w:rsidR="00B20811" w:rsidRDefault="00B20811">
      <w:pPr>
        <w:pStyle w:val="2"/>
      </w:pPr>
      <w:r>
        <w:t>8.7.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p>
    <w:p w:rsidR="00B20811" w:rsidRDefault="00B20811">
      <w:pPr>
        <w:ind w:left="200"/>
      </w:pPr>
      <w:r>
        <w:rPr>
          <w:rStyle w:val="Subst"/>
        </w:rPr>
        <w:t>1.Федеральный Закон от 10.12.2003г. № 173-ФЗ (ред. от  29.06.2004г.) «О валютном регулировании и валютном контроле»;</w:t>
      </w:r>
      <w:r>
        <w:rPr>
          <w:rStyle w:val="Subst"/>
        </w:rPr>
        <w:br/>
        <w:t>2. Закон РФ от 09.10.1992г. № 3615-1 (ред. от 10.12.2003г.) «О валютном регулировании и валютном контроле»;</w:t>
      </w:r>
      <w:r>
        <w:rPr>
          <w:rStyle w:val="Subst"/>
        </w:rPr>
        <w:br/>
        <w:t>3. Налоговый кодекс Российской Федерации, ч. 1, № 146-ФЗ от 31.07.1998г.;</w:t>
      </w:r>
      <w:r>
        <w:rPr>
          <w:rStyle w:val="Subst"/>
        </w:rPr>
        <w:br/>
        <w:t>4. Налоговый кодекс Российской Федерации, ч. 2, № 117-ФЗ от 05.08.2000г.;</w:t>
      </w:r>
      <w:r>
        <w:rPr>
          <w:rStyle w:val="Subst"/>
        </w:rPr>
        <w:br/>
        <w:t>5. Федеральный Закон от 22.04.1996г. № 39-ФЗ (ред. от 28.07.2004г.) «О рынке ценных бумаг»;</w:t>
      </w:r>
      <w:r>
        <w:rPr>
          <w:rStyle w:val="Subst"/>
        </w:rPr>
        <w:br/>
        <w:t>6. Федеральный Закон от 09.07.1999г. № 160-ФЗ (ред. от 08.12.2003г.) «Об иностранных инвестициях в Российской Федерации»;</w:t>
      </w:r>
      <w:r>
        <w:rPr>
          <w:rStyle w:val="Subst"/>
        </w:rPr>
        <w:br/>
        <w:t>7. Федеральный Закон от 25.02.1999г. № 39-ФЗ (ред. от 02.01.2000г.) «Об инвестиционной деятельности в Российской Федерации, осуществляемой в форме капитальных вложений»;</w:t>
      </w:r>
      <w:r>
        <w:rPr>
          <w:rStyle w:val="Subst"/>
        </w:rPr>
        <w:br/>
        <w:t>8. Федеральный Закон от 10.07.2002г. № 86-ФЗ (ред. от 29.07.2004г.) «О Центральном Банке Российской Федерации (Банке России)»;</w:t>
      </w:r>
      <w:r>
        <w:rPr>
          <w:rStyle w:val="Subst"/>
        </w:rPr>
        <w:br/>
        <w:t>9. Федеральный Закон от 07.08.2002г. № 115-ФЗ (ред. от 28.07.2004г.) «О противодействии легализации (отмыванию) доходов, полученных преступным путем, и финансированию терроризма»;</w:t>
      </w:r>
      <w:r>
        <w:rPr>
          <w:rStyle w:val="Subst"/>
        </w:rPr>
        <w:br/>
      </w:r>
      <w:r>
        <w:rPr>
          <w:rStyle w:val="Subst"/>
        </w:rPr>
        <w:lastRenderedPageBreak/>
        <w:t>10. Международные договоры Российской Федерации по вопросам избежания двойного налогообложения;</w:t>
      </w:r>
      <w:r>
        <w:rPr>
          <w:rStyle w:val="Subst"/>
        </w:rPr>
        <w:br/>
        <w:t>11. Инструкция ЦБР от 01.06.2004г. № 114-И «О порядке резервирования и возврата суммы резервирования при осуществлении валютных операций»;</w:t>
      </w:r>
      <w:r>
        <w:rPr>
          <w:rStyle w:val="Subst"/>
        </w:rPr>
        <w:br/>
        <w:t xml:space="preserve">12. Положение ЦБР от 01.06.2004г. № 258-П «О порядке предоставления резидентами уполномоченным банкам подтверждающих документов и информации, связанных с проведением валютных операций с нерезидентами по внешнеторговым сделкам, и осуществления уполномоченными банками контроля за проведением валютных операций»; </w:t>
      </w:r>
      <w:r>
        <w:rPr>
          <w:rStyle w:val="Subst"/>
        </w:rPr>
        <w:br/>
        <w:t>13. Указание ЦБР от 29.06.2004г. № 1465-У «Об установлении требований о резервировании при зачислении денежных средств на специальные банковские счета и при списании денежных средств со специальных банковских счетов».</w:t>
      </w:r>
    </w:p>
    <w:p w:rsidR="00B20811" w:rsidRDefault="00B20811">
      <w:pPr>
        <w:pStyle w:val="2"/>
      </w:pPr>
      <w:r>
        <w:t>8.8. Описание порядка налогообложения доходов по размещенным и размещаемым эмиссионным ценным бумагам эмитента</w:t>
      </w:r>
    </w:p>
    <w:p w:rsidR="00B20811" w:rsidRDefault="00B20811">
      <w:pPr>
        <w:ind w:left="200"/>
      </w:pPr>
      <w:r>
        <w:rPr>
          <w:rStyle w:val="Subst"/>
        </w:rPr>
        <w:t>Налогообложение доходов по размещенным и размещаемым эмиссионным ценным бумагам Эмитента регулируется Налоговым кодексом Российской Федерации (далее – «НК»), а также иными нормативными правовыми актами Российской Федерации, принятыми в  соответствии с Налоговым кодексом Российской Федерации.</w:t>
      </w:r>
      <w:r>
        <w:rPr>
          <w:rStyle w:val="Subst"/>
        </w:rPr>
        <w:br/>
        <w:t>Налоговые ставки:</w:t>
      </w:r>
      <w:r>
        <w:rPr>
          <w:rStyle w:val="Subst"/>
        </w:rPr>
        <w:br/>
      </w:r>
      <w:r>
        <w:rPr>
          <w:rStyle w:val="Subst"/>
        </w:rPr>
        <w:tab/>
        <w:t xml:space="preserve">                                                                                    </w:t>
      </w:r>
      <w:r>
        <w:rPr>
          <w:rStyle w:val="Subst"/>
        </w:rPr>
        <w:br/>
        <w:t xml:space="preserve">               </w:t>
      </w:r>
      <w:r>
        <w:rPr>
          <w:rStyle w:val="Subst"/>
        </w:rPr>
        <w:br/>
        <w:t xml:space="preserve">  </w:t>
      </w:r>
      <w:r>
        <w:rPr>
          <w:rStyle w:val="Subst"/>
        </w:rPr>
        <w:tab/>
        <w:t xml:space="preserve">     </w:t>
      </w:r>
      <w:r>
        <w:rPr>
          <w:rStyle w:val="Subst"/>
        </w:rPr>
        <w:tab/>
        <w:t xml:space="preserve">     </w:t>
      </w:r>
      <w:r>
        <w:rPr>
          <w:rStyle w:val="Subst"/>
        </w:rPr>
        <w:tab/>
        <w:t xml:space="preserve">                                    </w:t>
      </w:r>
      <w:r>
        <w:rPr>
          <w:rStyle w:val="Subst"/>
        </w:rPr>
        <w:br/>
        <w:t xml:space="preserve">  Юридические лица :</w:t>
      </w:r>
      <w:r>
        <w:rPr>
          <w:rStyle w:val="Subst"/>
        </w:rPr>
        <w:br/>
        <w:t xml:space="preserve"> вид дохода  - купонный доход;  резиденты -20% (из которых: фед.бюджет-2,0%; бюджет субъекта - 18% ); нерезиденты - 20%;</w:t>
      </w:r>
      <w:r>
        <w:rPr>
          <w:rStyle w:val="Subst"/>
        </w:rPr>
        <w:br/>
        <w:t xml:space="preserve">  вид дохода  - доход реализации ценных бумаг - 20% (из которых: фед.бюджет-2,0%; бюджет субъекта - 18% );  нерезиденты - 20%.</w:t>
      </w:r>
      <w:r>
        <w:rPr>
          <w:rStyle w:val="Subst"/>
        </w:rPr>
        <w:br/>
        <w:t xml:space="preserve">   Физические лица</w:t>
      </w:r>
      <w:r>
        <w:rPr>
          <w:rStyle w:val="Subst"/>
        </w:rPr>
        <w:br/>
        <w:t xml:space="preserve">  вид дохода  - купонный доход; резиденты -20% (из которых: фед.бюджет-2,0%; бюджет субъекта - 18% );</w:t>
      </w:r>
      <w:r>
        <w:rPr>
          <w:rStyle w:val="Subst"/>
        </w:rPr>
        <w:br/>
        <w:t xml:space="preserve">  вид дохода  - доход реализации ценных бумаг - 20% (из которых: фед.бюджет-2,0%; бюджет субъекта - 18% );</w:t>
      </w:r>
      <w:r>
        <w:rPr>
          <w:rStyle w:val="Subst"/>
        </w:rPr>
        <w:br/>
      </w:r>
      <w:r>
        <w:rPr>
          <w:rStyle w:val="Subst"/>
        </w:rPr>
        <w:br/>
      </w:r>
      <w:r>
        <w:rPr>
          <w:rStyle w:val="Subst"/>
        </w:rPr>
        <w:br/>
        <w:t>Порядок налогообложения юридических лиц:</w:t>
      </w:r>
      <w:r>
        <w:rPr>
          <w:rStyle w:val="Subst"/>
        </w:rPr>
        <w:br/>
        <w:t>Вид налога – налог на прибыль.</w:t>
      </w:r>
      <w:r>
        <w:rPr>
          <w:rStyle w:val="Subst"/>
        </w:rPr>
        <w:br/>
        <w:t>К доходам относятся:</w:t>
      </w:r>
      <w:r>
        <w:rPr>
          <w:rStyle w:val="Subst"/>
        </w:rPr>
        <w:br/>
        <w:t>- выручка от реализации имущественных прав (доходы от реализации);</w:t>
      </w:r>
      <w:r>
        <w:rPr>
          <w:rStyle w:val="Subst"/>
        </w:rPr>
        <w:br/>
        <w:t>- внереализационные доходы в виде процентов по ценным бумагам и другим долговым обязательствам и/или от долевого участия в других организациях.</w:t>
      </w:r>
      <w:r>
        <w:rPr>
          <w:rStyle w:val="Subst"/>
        </w:rPr>
        <w:br/>
        <w:t>Налоговая база.</w:t>
      </w:r>
      <w:r>
        <w:rPr>
          <w:rStyle w:val="Subst"/>
        </w:rPr>
        <w:br/>
        <w:t>Доходы налогоплательщика от операций по реализации или иного выбытия ценных бумаг (в том числе погашения) определяются исходя из цены реализации или иного выбытия ценной бумаги, а также суммы накопленного процентного (купонного) дохода, уплаченной покупателем налогоплательщику, и суммы процентного (купонного) дохода, выплаченной налогоплательщику эмитентом. При этом в доход налогоплательщика от реализации или иного выбытия ценных бумаг не включаются суммы процентного (купонного) дохода, ранее учтенные при налогообложении.</w:t>
      </w:r>
      <w:r>
        <w:rPr>
          <w:rStyle w:val="Subst"/>
        </w:rPr>
        <w:br/>
        <w:t>Расходы при реализации (или ином выбытии) ценных бумаг определяются исходя из цены приобретения ценной бумаги (включая расходы на ее приобретение), затрат на ее реализацию, размера скидок с расчетной стоимости инвестиционных паев, суммы накопленного процентного (купонного) дохода, уплаченной налогоплательщиком продавцу ценной бумаги. При этом в расход не включаются суммы накопленного процентного (купонного) дохода, ранее учтенные при налогообложении.</w:t>
      </w:r>
      <w:r>
        <w:rPr>
          <w:rStyle w:val="Subst"/>
        </w:rPr>
        <w:br/>
        <w:t>Ценные бумаги признаются обращающимися на организованном рынке ценных бумаг только при одновременном соблюдении следующих условий:</w:t>
      </w:r>
      <w:r>
        <w:rPr>
          <w:rStyle w:val="Subst"/>
        </w:rPr>
        <w:br/>
        <w:t>1) если они допущены к обращению хотя бы одним организатором торговли, имеющим на это право в соответствии с национальным законодательством;</w:t>
      </w:r>
      <w:r>
        <w:rPr>
          <w:rStyle w:val="Subst"/>
        </w:rPr>
        <w:br/>
        <w:t>2) если информация об их ценах (котировках) публикуется в средствах массовой информации (в том числе электронных) либо может быть представлена организатором торговли или иным уполномоченным лицом любому заинтересованному лицу в течение трех лет после даты совершения операций с ценными бумагами;</w:t>
      </w:r>
      <w:r>
        <w:rPr>
          <w:rStyle w:val="Subst"/>
        </w:rPr>
        <w:br/>
      </w:r>
      <w:r>
        <w:rPr>
          <w:rStyle w:val="Subst"/>
        </w:rPr>
        <w:lastRenderedPageBreak/>
        <w:t>3) если по ним рассчитывается рыночная котировка, когда это предусмотрено соответствующим национальным законодательством.</w:t>
      </w:r>
      <w:r>
        <w:rPr>
          <w:rStyle w:val="Subst"/>
        </w:rPr>
        <w:br/>
        <w:t>Рыночной ценой ценных бумаг, обращающихся на организованном рынке ценных бумаг, для целей налогообложения признается фактическая цена реализации или иного выбытия ценных бумаг, если эта цена находится в интервале между минимальной и максимальной ценами сделок (интервал цен) с указанной ценной бумагой, зарегистрированной организатором торговли на рынке ценных бумаг на дату совершения соответствующей сделки. В случае реализации ценных бумаг, обращающихся на организованном рынке ценных бумаг, по цене ниже минимальной цены сделок на организованном рынке ценных бумаг при определении финансового результата принимается минимальная цена сделки на организованном рынке ценных бумаг.</w:t>
      </w:r>
      <w:r>
        <w:rPr>
          <w:rStyle w:val="Subst"/>
        </w:rPr>
        <w:br/>
        <w:t>Под накопленным процентным (купонным) доходом понимается часть процентного (купонного) дохода, выплата которого предусмотрена условиями выпуска такой ценной бумаги, рассчитываемая пропорционально количеству дней, прошедших от даты выпуска ценной бумаги или даты выплаты предшествующего купонного дохода до даты совершения сделки (даты передачи ценной бумаги).</w:t>
      </w:r>
      <w:r>
        <w:rPr>
          <w:rStyle w:val="Subst"/>
        </w:rPr>
        <w:br/>
        <w:t>В отношении ценных бумаг, не обращающихся на организованном рынке ценных бумаг, для целей налогообложения принимается фактическая цена реализации или иного выбытия данных ценных бумаг при выполнении хотя бы одного из следующих условий:</w:t>
      </w:r>
      <w:r>
        <w:rPr>
          <w:rStyle w:val="Subst"/>
        </w:rPr>
        <w:br/>
        <w:t>1) если фактическая цена соответствующей сделки находится в интервале цен по аналогичной (идентичной, однородной) ценной бумаге, зарегистрированной организатором торговли на рынке ценных бумаг на дату совершения сделки или на дату ближайших торгов, состоявшихся до дня совершения соответствующей сделки, если торги по этим ценным бумагам проводились у организатора торговли хотя бы один раз в течение последних 12 месяцев;</w:t>
      </w:r>
      <w:r>
        <w:rPr>
          <w:rStyle w:val="Subst"/>
        </w:rPr>
        <w:br/>
        <w:t>2) если отклонение фактической цены соответствующей сделки находится в пределах 20 процентов в сторону повышения или понижения от средневзвешенной цены аналогичной (идентичной, однородной) ценной бумаги, рассчитанной организатором торговли на рынке ценных бумаг в соответствии с установленными им правилами по итогам торгов на дату заключения такой сделки или на дату ближайших торгов, состоявшихся до дня совершения соответствующей сделки, если торги по этим ценным бумагам проводились у организатора торговли хотя бы один раз в течение последних 12 месяцев.</w:t>
      </w:r>
      <w:r>
        <w:rPr>
          <w:rStyle w:val="Subst"/>
        </w:rPr>
        <w:br/>
        <w:t>Налоговая база по операциям с ценными бумагами определяется налогоплательщиком отдельно, за исключением налоговой базы по операциям с ценными бумагами, определяемой профессиональными участниками рынка ценных бумаг. При этом налогоплательщики (за исключением профессиональных участников рынка ценных бумаг, осуществляющих дилерскую деятельность) определяют налоговую базу по операциям с ценными бумагами, обращающимися на организованном рынке ценных бумаг, отдельно от налоговой базы по операциям с ценными бумагами, не обращающимися на организованном рынке ценных бумаг.</w:t>
      </w:r>
      <w:r>
        <w:rPr>
          <w:rStyle w:val="Subst"/>
        </w:rPr>
        <w:br/>
        <w:t>При реализации или ином выбытии ценных бумаг налогоплательщик самостоятельно в соответствии с принятой в целях налогообложения учетной политикой выбирает один из следующих методов списания на расходы стоимости выбывших ценных бумаг:</w:t>
      </w:r>
      <w:r>
        <w:rPr>
          <w:rStyle w:val="Subst"/>
        </w:rPr>
        <w:br/>
        <w:t>1) по стоимости первых по времени приобретений (ФИФО);</w:t>
      </w:r>
      <w:r>
        <w:rPr>
          <w:rStyle w:val="Subst"/>
        </w:rPr>
        <w:br/>
        <w:t>2) по стоимости последних по времени приобретений (ЛИФО);</w:t>
      </w:r>
      <w:r>
        <w:rPr>
          <w:rStyle w:val="Subst"/>
        </w:rPr>
        <w:br/>
        <w:t>3) по стоимости единицы.</w:t>
      </w:r>
      <w:r>
        <w:rPr>
          <w:rStyle w:val="Subst"/>
        </w:rPr>
        <w:br/>
        <w:t>Налогоплательщики, получившие убыток (убытки) от операций с ценными бумагами в предыдущем налоговом периоде или в предыдущие налоговые периоды, вправе уменьшить налоговую базу, полученную по операциям с ценными бумагами в отчетном (налоговом) периоде (перенести указанные убытки на будущее) в порядке и на условиях, которые установлены статьей 283 НК.</w:t>
      </w:r>
      <w:r>
        <w:rPr>
          <w:rStyle w:val="Subst"/>
        </w:rPr>
        <w:br/>
        <w:t xml:space="preserve"> При этом убытки от операций с ценными бумагами, не обращающимися на организованном рынке ценных бумаг, полученные в предыдущем налоговом периоде (предыдущих налоговых периодах), могут быть отнесены на уменьшение налоговой базы от операций с такими ценными бумагами, определенной в отчетном (налоговом) периоде. Убытки от операций с ценными бумагами, обращающимися на организованном рынке ценных бумаг, полученные в предыдущем налоговом периоде (предыдущих налоговых периодах), могут быть отнесены на уменьшение налоговой базы от операций по реализации данной категории ценных бумаг.</w:t>
      </w:r>
      <w:r>
        <w:rPr>
          <w:rStyle w:val="Subst"/>
        </w:rPr>
        <w:br/>
        <w:t>В течение налогового периода перенос на будущее убытков, понесенных в соответствующем отчетном периоде от операций с ценными бумагами, обращающимися на организованном рынке ценных бумаг, и ценными бумагами, не обращающимися на организованном рынке ценных бумаг, осуществляется раздельно по указанным категориям ценных бумаг соответственно в пределах прибыли, полученной от операций с такими ценными бумагами.</w:t>
      </w:r>
      <w:r>
        <w:rPr>
          <w:rStyle w:val="Subst"/>
        </w:rPr>
        <w:br/>
        <w:t xml:space="preserve">В случае выплаты налоговым агентом иностранной организации доходов, которые в соответствии с международными договорами (соглашениями) облагаются налогом в Российской Федерации по пониженным ставкам, исчисление и удержание суммы налога с доходов </w:t>
      </w:r>
      <w:r>
        <w:rPr>
          <w:rStyle w:val="Subst"/>
        </w:rPr>
        <w:lastRenderedPageBreak/>
        <w:t>производятся налоговым агентом по соответствующим пониженным ставкам при условии предъявления иностранной организацией налоговому агенту подтверждения, предусмотренного пунктом 1 статьи 312 НК РФ. При этом в случае выплаты доходов российскими банками по операциям с иностранными банками подтверждение факта постоянного местонахождения иностранного банка в государстве, с которым имеется международный договор (соглашение), регулирующий вопросы налогообложения, не требуется, если такое местонахождение подтверждается сведениями общедоступных информационных справочников.</w:t>
      </w:r>
      <w:r>
        <w:rPr>
          <w:rStyle w:val="Subst"/>
        </w:rPr>
        <w:br/>
      </w:r>
      <w:r>
        <w:rPr>
          <w:rStyle w:val="Subst"/>
        </w:rPr>
        <w:br/>
        <w:t>Порядок налогообложения физических лиц:</w:t>
      </w:r>
      <w:r>
        <w:rPr>
          <w:rStyle w:val="Subst"/>
        </w:rPr>
        <w:br/>
        <w:t>Вид налога – налог на доходы.</w:t>
      </w:r>
      <w:r>
        <w:rPr>
          <w:rStyle w:val="Subst"/>
        </w:rPr>
        <w:br/>
        <w:t>К доходам от источников в Российской Федерации относятся:</w:t>
      </w:r>
      <w:r>
        <w:rPr>
          <w:rStyle w:val="Subst"/>
        </w:rPr>
        <w:br/>
        <w:t>- дивиденды и проценты, полученные от российской организации, а также проценты, полученные от российских индивидуальных предпринимателей и (или) иностранной организации в связи с деятельностью ее постоянного представительства в РФ;</w:t>
      </w:r>
      <w:r>
        <w:rPr>
          <w:rStyle w:val="Subst"/>
        </w:rPr>
        <w:br/>
        <w:t>- доходы от реализации в РФ акций или иных ценных бумаг, а также долей участия в уставном капитале организаций.</w:t>
      </w:r>
      <w:r>
        <w:rPr>
          <w:rStyle w:val="Subst"/>
        </w:rPr>
        <w:br/>
        <w:t>Налоговая база.</w:t>
      </w:r>
      <w:r>
        <w:rPr>
          <w:rStyle w:val="Subst"/>
        </w:rPr>
        <w:br/>
        <w:t>Доходом налогоплательщика, полученным в виде материальной выгоды, является материальная выгода, полученная от приобретения ценных бумаг. Налоговая база определяется  как превышение рыночной стоимости ценных бумаг, определяемой с учетом предельной границы колебаний рыночной цены ценных бумаг, над суммой фактических расходов налогоплательщика на их приобретение. Порядок определения рыночной цены ценных бумаг и предельной границы колебаний рыночной цены ценных бумаг устанавливается федеральным органом, осуществляющим регулирование рынка ценных бумаг.</w:t>
      </w:r>
      <w:r>
        <w:rPr>
          <w:rStyle w:val="Subst"/>
        </w:rPr>
        <w:br/>
        <w:t>При определении налоговой базы по доходам по операциям с ценными бумагами учитываются доходы, полученные по следующим операциям:</w:t>
      </w:r>
      <w:r>
        <w:rPr>
          <w:rStyle w:val="Subst"/>
        </w:rPr>
        <w:br/>
        <w:t>- купли - продажи ценных бумаг, обращающихся на организованном рынке ценных бумаг;</w:t>
      </w:r>
      <w:r>
        <w:rPr>
          <w:rStyle w:val="Subst"/>
        </w:rPr>
        <w:br/>
        <w:t>- купли - продажи ценных бумаг, не обращающихся на организованном рынке ценных бумаг.</w:t>
      </w:r>
      <w:r>
        <w:rPr>
          <w:rStyle w:val="Subst"/>
        </w:rPr>
        <w:br/>
        <w:t>Доход (убыток) по операциям купли - продажи ценных бумаг определяется как разница между суммами доходов, полученными от реализации ценных бумаг, и документально подтвержденными расходами на приобретение, реализацию и хранение ценных бумаг, фактически произведенными налогоплательщиком, либо имущественными вычетами, принимаемыми в уменьшение доходов от сделки купли - продажи.</w:t>
      </w:r>
      <w:r>
        <w:rPr>
          <w:rStyle w:val="Subst"/>
        </w:rPr>
        <w:br/>
        <w:t>К указанным расходам относятся:</w:t>
      </w:r>
      <w:r>
        <w:rPr>
          <w:rStyle w:val="Subst"/>
        </w:rPr>
        <w:br/>
        <w:t>- суммы, уплачиваемые продавцу в соответствии с договором;</w:t>
      </w:r>
      <w:r>
        <w:rPr>
          <w:rStyle w:val="Subst"/>
        </w:rPr>
        <w:br/>
        <w:t>- оплата услуг, оказываемых депозитарием;</w:t>
      </w:r>
      <w:r>
        <w:rPr>
          <w:rStyle w:val="Subst"/>
        </w:rPr>
        <w:br/>
        <w:t>- комиссионные отчисления профессиональным участникам рынка ценных бумаг, скидка, уплачиваемая (возмещаемая) управляющей компании паевого инвестиционного фонда при продаже (погашении) инвестором инвестиционного пая паевого инвестиционного фонда, определяемая в соответствии с порядком, установленным законодательством Российской Федерации об инвестиционных фондах;</w:t>
      </w:r>
      <w:r>
        <w:rPr>
          <w:rStyle w:val="Subst"/>
        </w:rPr>
        <w:br/>
        <w:t>- биржевой сбор (комиссия);</w:t>
      </w:r>
      <w:r>
        <w:rPr>
          <w:rStyle w:val="Subst"/>
        </w:rPr>
        <w:br/>
        <w:t>- оплата услуг регистратора;</w:t>
      </w:r>
      <w:r>
        <w:rPr>
          <w:rStyle w:val="Subst"/>
        </w:rPr>
        <w:br/>
        <w:t>- другие расходы, непосредственно связанные с куплей, продажей и хранением ценных бумаг,</w:t>
      </w:r>
      <w:r>
        <w:rPr>
          <w:rStyle w:val="Subst"/>
        </w:rPr>
        <w:br/>
        <w:t>произведенные за услуги, оказываемые профессиональными участниками рынка ценных бумаг в рамках их профессиональной деятельности.</w:t>
      </w:r>
      <w:r>
        <w:rPr>
          <w:rStyle w:val="Subst"/>
        </w:rPr>
        <w:br/>
        <w:t>Доход (убыток) по операциям купли - продажи ценных бумаг, обращающихся на организованном рынке ценных бумаг, уменьшается (увеличивается) на сумму процентов, уплаченных за пользование денежными средствами, привлеченными для совершения сделки купли - продажи ценных бумаг, в пределах сумм, рассчитанных исходя из действующей ставки рефинансирования Центрального банка Российской Федерации.</w:t>
      </w:r>
      <w:r>
        <w:rPr>
          <w:rStyle w:val="Subst"/>
        </w:rPr>
        <w:br/>
        <w:t>По операциям с ценными бумагами, обращающимися на организованном рынке ценных бумаг, размер убытка определяется с учетом предельной границы колебаний рыночной цены ценных бумаг.</w:t>
      </w:r>
      <w:r>
        <w:rPr>
          <w:rStyle w:val="Subst"/>
        </w:rPr>
        <w:br/>
        <w:t>К ценным бумагам, обращающимся на организованном рынке ценных бумаг, относятся ценные бумаги, допущенные к обращению у организаторов торговли, имеющих лицензию федерального органа, осуществляющего регулирование рынка ценных бумаг.</w:t>
      </w:r>
      <w:r>
        <w:rPr>
          <w:rStyle w:val="Subst"/>
        </w:rPr>
        <w:br/>
        <w:t xml:space="preserve">Под рыночной котировкой ценной бумаги, обращающейся на организованном рынке ценных бумаг, в понимается средневзвешенная цена ценной бумаги по сделкам, совершенным в течение торгового дня через организатора торговли. Если по одной и той же ценной бумаге сделки совершались через двух и более организаторов торговли, налогоплательщик вправе самостоятельно выбрать рыночную котировку ценной бумаги, сложившуюся у одного из организаторов торговли. В случае если средневзвешенная цена организатором торговли не </w:t>
      </w:r>
      <w:r>
        <w:rPr>
          <w:rStyle w:val="Subst"/>
        </w:rPr>
        <w:lastRenderedPageBreak/>
        <w:t>рассчитывается, за средневзвешенную цену принимается половина суммы максимальной и минимальной цен сделок, совершенных в течение торгового дня через этого организатора</w:t>
      </w:r>
      <w:r>
        <w:rPr>
          <w:rStyle w:val="Subst"/>
        </w:rPr>
        <w:br/>
        <w:t xml:space="preserve">торговли. </w:t>
      </w:r>
      <w:r>
        <w:rPr>
          <w:rStyle w:val="Subst"/>
        </w:rPr>
        <w:br/>
        <w:t>Если расходы налогоплательщика на приобретение, реализацию и хранение ценных бумаг не могут быть отнесены непосредственно к расходам на приобретение, реализацию и хранение конкретных ценных бумаг, указанные расходы распределяются пропорционально стоимостной оценке ценных бумаг, на долю которых относятся указанные расходы. Стоимостная оценка ценных бумаг определяется на дату осуществления этих расходов.</w:t>
      </w:r>
      <w:r>
        <w:rPr>
          <w:rStyle w:val="Subst"/>
        </w:rPr>
        <w:br/>
        <w:t>В случае если расходы налогоплательщика не могут быть подтверждены документально, он вправе воспользоваться имущественным налоговым вычетом, предусмотренным абзацем первым подпункта 1 пункта 1 статьи 220 НК.</w:t>
      </w:r>
      <w:r>
        <w:rPr>
          <w:rStyle w:val="Subst"/>
        </w:rPr>
        <w:br/>
        <w:t>Убыток по операциям с ценными бумагами, обращающимися на организованном рынке ценных бумаг, полученный по результатам указанных операций, совершенных в налоговом периоде, уменьшает налоговую базу по операциям купли - продажи ценных бумаг данной категории.</w:t>
      </w:r>
      <w:r>
        <w:rPr>
          <w:rStyle w:val="Subst"/>
        </w:rPr>
        <w:br/>
        <w:t>Доход по операциям купли - продажи ценных бумаг, не обращающихся на организованном рынке ценных бумаг, которые на момент их приобретения отвечали требованиям, установленным для ценных бумаг, обращающихся на организованном рынке ценных бумаг, может быть уменьшен на сумму убытка, полученного в налоговом периоде, по операциям купли - продажи ценных бумаг, обращающихся на организованном рынке ценных бумаг.</w:t>
      </w:r>
      <w:r>
        <w:rPr>
          <w:rStyle w:val="Subst"/>
        </w:rPr>
        <w:br/>
        <w:t>Дата фактического получения дохода:</w:t>
      </w:r>
      <w:r>
        <w:rPr>
          <w:rStyle w:val="Subst"/>
        </w:rPr>
        <w:br/>
        <w:t>- день выплаты дохода, в том числе перечисления дохода на счета налогоплательщика в банках либо по его поручению на счета третьих лиц - при получении доходов в денежной форме;</w:t>
      </w:r>
      <w:r>
        <w:rPr>
          <w:rStyle w:val="Subst"/>
        </w:rPr>
        <w:br/>
        <w:t>- день приобретения ценных бумаг.</w:t>
      </w:r>
      <w:r>
        <w:rPr>
          <w:rStyle w:val="Subst"/>
        </w:rPr>
        <w:br/>
        <w:t>Налоговая база по операциям купли - продажи ценных бумаг и операциям с финансовыми инструментами срочных сделок определяется по окончании налогового периода. Расчет и уплата суммы налога осуществляются налоговым агентом по окончании налогового периода или при осуществлении им выплаты денежных средств налогоплательщику до истечения очередного налогового периода.</w:t>
      </w:r>
      <w:r>
        <w:rPr>
          <w:rStyle w:val="Subst"/>
        </w:rPr>
        <w:br/>
        <w:t>При осуществлении выплаты денежных средств налоговым агентом до истечения очередного налогового периода налог уплачивается с доли дохода, определяемого в соответствии с настоящей статьей, соответствующей фактической сумме выплачиваемых денежных средств. Доля дохода определяется как произведение общей суммы дохода на отношение суммы выплаты к стоимостной оценке ценных бумаг, определяемой на дату выплаты денежных средств, по которым налоговый агент выступает в качестве брокера. При осуществлении выплаты денежных средств налогоплательщику более одного раза в течение налогового периода расчет суммы налога производится нарастающим итогом с зачетом ранее уплаченных сумм налога.</w:t>
      </w:r>
      <w:r>
        <w:rPr>
          <w:rStyle w:val="Subst"/>
        </w:rPr>
        <w:br/>
        <w:t>Стоимостная оценка ценных бумаг определяется исходя из фактически произведенных и документально подтвержденных расходов на их приобретение.</w:t>
      </w:r>
      <w:r>
        <w:rPr>
          <w:rStyle w:val="Subst"/>
        </w:rPr>
        <w:br/>
        <w:t>Под выплатой денежных средств понимаются выплата наличных денежных средств, перечисление денежных средств на банковский счет физического лица или на счет третьего лица по требованию физического лица.</w:t>
      </w:r>
      <w:r>
        <w:rPr>
          <w:rStyle w:val="Subst"/>
        </w:rPr>
        <w:br/>
        <w:t>При невозможности удержать у налогоплательщика исчисленную сумму налога источником выплаты дохода налоговый агент (брокер, доверительный управляющий или иное лицо, совершающее операции по договору поручения, договору комиссии, иному договору в пользу налогоплательщика) в течение одного месяца с момента возникновения этого обстоятельства в письменной форме уведомляет налоговый орган по месту своего учета о невозможности указанного удержания и сумме задолженности налогоплательщика. Уплата</w:t>
      </w:r>
      <w:r>
        <w:rPr>
          <w:rStyle w:val="Subst"/>
        </w:rPr>
        <w:br/>
        <w:t>налога в этом случае производится в соответствии со статьей 228 НК.</w:t>
      </w:r>
      <w:r>
        <w:rPr>
          <w:rStyle w:val="Subst"/>
        </w:rPr>
        <w:br/>
        <w:t>В случае выплаты налоговым агентом иностранной организации доходов, которые в соответствии с международными договорами (соглашениями) облагаются налогом в</w:t>
      </w:r>
      <w:r w:rsidR="00A00EFB">
        <w:rPr>
          <w:rStyle w:val="Subst"/>
        </w:rPr>
        <w:t xml:space="preserve"> Р</w:t>
      </w:r>
      <w:r>
        <w:rPr>
          <w:rStyle w:val="Subst"/>
        </w:rPr>
        <w:t>оссийской Федерации по пониженным ставкам, исчисление и удержание суммы налога с доходов производятся налоговым агентом по соответствующим пониженным ставкам при условии предъявления иностранной организацией налоговому агенту подтверждения, предусмотренного пунктом 1 статьи 312 НК РФ. При этом в случае выплаты доходов российскими банками по операциям с иностранными банками подтверждение факта постоянного местонахождения иностранного банка в государстве, с которым имеется международный договор (соглашение), регулирующий вопросы налогообложения, не требуется, если такое местонахождение подтверждается сведениями общедоступных информационных справочников.</w:t>
      </w:r>
    </w:p>
    <w:p w:rsidR="00B20811" w:rsidRDefault="00B20811">
      <w:pPr>
        <w:pStyle w:val="2"/>
      </w:pPr>
      <w:r>
        <w:t>8.9. Сведения об объявленных (начисленных) и о выплаченных дивидендах по акциям эмитента, а также о доходах по облигациям эмитента</w:t>
      </w:r>
    </w:p>
    <w:p w:rsidR="00B20811" w:rsidRDefault="00B20811">
      <w:pPr>
        <w:pStyle w:val="2"/>
      </w:pPr>
      <w:r>
        <w:lastRenderedPageBreak/>
        <w:t>8.9.2. Выпуски облигаций, по которым за 5 последних завершенных финансовых лет, предшествующих дате окончания последнего отчетного квартала, а если эмитент осуществляет свою деятельность менее 5 лет - за каждый завершенный финансовый год, предшествующий дате окончания последнего отчетного квартала, выплачивался доход</w:t>
      </w:r>
    </w:p>
    <w:p w:rsidR="00B20811" w:rsidRDefault="00B20811">
      <w:pPr>
        <w:ind w:left="200"/>
      </w:pPr>
      <w:r>
        <w:rPr>
          <w:rStyle w:val="Subst"/>
        </w:rPr>
        <w:t>В течение указанного периода доходы по облигациям эмитента не выплачивались</w:t>
      </w:r>
    </w:p>
    <w:p w:rsidR="00B20811" w:rsidRDefault="00B20811">
      <w:pPr>
        <w:pStyle w:val="2"/>
      </w:pPr>
      <w:r>
        <w:t>8.10. Иные сведения</w:t>
      </w:r>
    </w:p>
    <w:p w:rsidR="00B20811" w:rsidRDefault="00B20811">
      <w:pPr>
        <w:ind w:left="200"/>
      </w:pPr>
      <w:r>
        <w:rPr>
          <w:rStyle w:val="Subst"/>
        </w:rPr>
        <w:t>Иные сведения отсутствуют.</w:t>
      </w:r>
    </w:p>
    <w:p w:rsidR="00B20811" w:rsidRDefault="00B20811">
      <w:pPr>
        <w:pStyle w:val="2"/>
      </w:pPr>
      <w:r>
        <w:t>8.11.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p>
    <w:p w:rsidR="00B20811" w:rsidRDefault="00B20811">
      <w:pPr>
        <w:ind w:left="200"/>
      </w:pPr>
      <w:r>
        <w:rPr>
          <w:rStyle w:val="Subst"/>
        </w:rPr>
        <w:t>Эмитент не является эмитентом представляемых ценных бумаг, право собственности на которые удостоверяется российскими депозитарными расписками</w:t>
      </w:r>
    </w:p>
    <w:sectPr w:rsidR="00B20811" w:rsidSect="0017743F">
      <w:footerReference w:type="default" r:id="rId6"/>
      <w:pgSz w:w="11907" w:h="16840"/>
      <w:pgMar w:top="1134" w:right="1418" w:bottom="1134" w:left="1418"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234A" w:rsidRDefault="006D234A">
      <w:pPr>
        <w:spacing w:before="0" w:after="0"/>
      </w:pPr>
      <w:r>
        <w:separator/>
      </w:r>
    </w:p>
  </w:endnote>
  <w:endnote w:type="continuationSeparator" w:id="1">
    <w:p w:rsidR="006D234A" w:rsidRDefault="006D234A">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altName w:val="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811" w:rsidRDefault="0017743F">
    <w:pPr>
      <w:framePr w:wrap="auto" w:hAnchor="text" w:xAlign="right"/>
      <w:spacing w:before="0" w:after="0"/>
    </w:pPr>
    <w:fldSimple w:instr="PAGE">
      <w:r w:rsidR="00674AB8">
        <w:rPr>
          <w:noProof/>
        </w:rPr>
        <w:t>21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234A" w:rsidRDefault="006D234A">
      <w:pPr>
        <w:spacing w:before="0" w:after="0"/>
      </w:pPr>
      <w:r>
        <w:separator/>
      </w:r>
    </w:p>
  </w:footnote>
  <w:footnote w:type="continuationSeparator" w:id="1">
    <w:p w:rsidR="006D234A" w:rsidRDefault="006D234A">
      <w:pPr>
        <w:spacing w:before="0"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0811"/>
    <w:rsid w:val="0017743F"/>
    <w:rsid w:val="00591BA9"/>
    <w:rsid w:val="00674AB8"/>
    <w:rsid w:val="006D234A"/>
    <w:rsid w:val="00756272"/>
    <w:rsid w:val="007B24D4"/>
    <w:rsid w:val="00A00EFB"/>
    <w:rsid w:val="00B20811"/>
    <w:rsid w:val="00BA69B6"/>
    <w:rsid w:val="00BB49F8"/>
    <w:rsid w:val="00C76478"/>
    <w:rsid w:val="00D56C38"/>
    <w:rsid w:val="00D90A4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743F"/>
    <w:pPr>
      <w:widowControl w:val="0"/>
      <w:autoSpaceDE w:val="0"/>
      <w:autoSpaceDN w:val="0"/>
      <w:adjustRightInd w:val="0"/>
      <w:spacing w:before="20" w:after="40"/>
    </w:pPr>
    <w:rPr>
      <w:rFonts w:ascii="Times New Roman" w:hAnsi="Times New Roman"/>
    </w:rPr>
  </w:style>
  <w:style w:type="paragraph" w:styleId="1">
    <w:name w:val="heading 1"/>
    <w:basedOn w:val="a"/>
    <w:next w:val="a"/>
    <w:link w:val="10"/>
    <w:uiPriority w:val="99"/>
    <w:qFormat/>
    <w:rsid w:val="0017743F"/>
    <w:pPr>
      <w:spacing w:before="360" w:after="120"/>
      <w:jc w:val="center"/>
      <w:outlineLvl w:val="0"/>
    </w:pPr>
    <w:rPr>
      <w:b/>
      <w:bCs/>
      <w:sz w:val="28"/>
      <w:szCs w:val="28"/>
    </w:rPr>
  </w:style>
  <w:style w:type="paragraph" w:styleId="2">
    <w:name w:val="heading 2"/>
    <w:basedOn w:val="a"/>
    <w:next w:val="a"/>
    <w:link w:val="20"/>
    <w:uiPriority w:val="99"/>
    <w:qFormat/>
    <w:rsid w:val="0017743F"/>
    <w:pPr>
      <w:spacing w:before="240"/>
      <w:outlineLvl w:val="1"/>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Heading">
    <w:name w:val="Sub Heading"/>
    <w:uiPriority w:val="99"/>
    <w:rsid w:val="0017743F"/>
    <w:pPr>
      <w:widowControl w:val="0"/>
      <w:autoSpaceDE w:val="0"/>
      <w:autoSpaceDN w:val="0"/>
      <w:adjustRightInd w:val="0"/>
      <w:spacing w:before="240" w:after="40"/>
    </w:pPr>
    <w:rPr>
      <w:rFonts w:ascii="Times New Roman" w:hAnsi="Times New Roman"/>
    </w:rPr>
  </w:style>
  <w:style w:type="paragraph" w:styleId="a3">
    <w:name w:val="Title"/>
    <w:basedOn w:val="a"/>
    <w:next w:val="a"/>
    <w:link w:val="a4"/>
    <w:uiPriority w:val="99"/>
    <w:qFormat/>
    <w:rsid w:val="0017743F"/>
    <w:pPr>
      <w:spacing w:before="0" w:after="240"/>
      <w:jc w:val="center"/>
    </w:pPr>
    <w:rPr>
      <w:b/>
      <w:bCs/>
      <w:sz w:val="32"/>
      <w:szCs w:val="32"/>
    </w:rPr>
  </w:style>
  <w:style w:type="character" w:customStyle="1" w:styleId="a4">
    <w:name w:val="Название Знак"/>
    <w:basedOn w:val="a0"/>
    <w:link w:val="a3"/>
    <w:uiPriority w:val="10"/>
    <w:rsid w:val="0017743F"/>
    <w:rPr>
      <w:rFonts w:ascii="Cambria" w:eastAsia="Times New Roman" w:hAnsi="Cambria" w:cs="Times New Roman"/>
      <w:b/>
      <w:bCs/>
      <w:kern w:val="28"/>
      <w:sz w:val="32"/>
      <w:szCs w:val="32"/>
    </w:rPr>
  </w:style>
  <w:style w:type="paragraph" w:customStyle="1" w:styleId="SubTitle">
    <w:name w:val="Sub Title"/>
    <w:uiPriority w:val="99"/>
    <w:rsid w:val="0017743F"/>
    <w:pPr>
      <w:widowControl w:val="0"/>
      <w:autoSpaceDE w:val="0"/>
      <w:autoSpaceDN w:val="0"/>
      <w:adjustRightInd w:val="0"/>
      <w:spacing w:after="240"/>
      <w:jc w:val="center"/>
    </w:pPr>
    <w:rPr>
      <w:rFonts w:ascii="Times New Roman" w:hAnsi="Times New Roman"/>
      <w:b/>
      <w:bCs/>
      <w:sz w:val="24"/>
      <w:szCs w:val="24"/>
    </w:rPr>
  </w:style>
  <w:style w:type="character" w:customStyle="1" w:styleId="10">
    <w:name w:val="Заголовок 1 Знак"/>
    <w:basedOn w:val="a0"/>
    <w:link w:val="1"/>
    <w:uiPriority w:val="9"/>
    <w:rsid w:val="0017743F"/>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17743F"/>
    <w:rPr>
      <w:rFonts w:ascii="Cambria" w:eastAsia="Times New Roman" w:hAnsi="Cambria" w:cs="Times New Roman"/>
      <w:b/>
      <w:bCs/>
      <w:i/>
      <w:iCs/>
      <w:sz w:val="28"/>
      <w:szCs w:val="28"/>
    </w:rPr>
  </w:style>
  <w:style w:type="paragraph" w:customStyle="1" w:styleId="SubHeading1">
    <w:name w:val="Sub Heading1"/>
    <w:uiPriority w:val="99"/>
    <w:rsid w:val="0017743F"/>
    <w:pPr>
      <w:widowControl w:val="0"/>
      <w:autoSpaceDE w:val="0"/>
      <w:autoSpaceDN w:val="0"/>
      <w:adjustRightInd w:val="0"/>
      <w:spacing w:before="80" w:after="20"/>
    </w:pPr>
    <w:rPr>
      <w:rFonts w:ascii="Times New Roman" w:hAnsi="Times New Roman"/>
    </w:rPr>
  </w:style>
  <w:style w:type="paragraph" w:customStyle="1" w:styleId="SpacedNormal">
    <w:name w:val="Spaced Normal"/>
    <w:uiPriority w:val="99"/>
    <w:rsid w:val="0017743F"/>
    <w:pPr>
      <w:widowControl w:val="0"/>
      <w:autoSpaceDE w:val="0"/>
      <w:autoSpaceDN w:val="0"/>
      <w:adjustRightInd w:val="0"/>
      <w:spacing w:before="120" w:after="40"/>
    </w:pPr>
    <w:rPr>
      <w:rFonts w:ascii="Times New Roman" w:hAnsi="Times New Roman"/>
    </w:rPr>
  </w:style>
  <w:style w:type="paragraph" w:customStyle="1" w:styleId="ThinDelim">
    <w:name w:val="Thin Delim"/>
    <w:uiPriority w:val="99"/>
    <w:rsid w:val="0017743F"/>
    <w:pPr>
      <w:widowControl w:val="0"/>
      <w:autoSpaceDE w:val="0"/>
      <w:autoSpaceDN w:val="0"/>
      <w:adjustRightInd w:val="0"/>
    </w:pPr>
    <w:rPr>
      <w:rFonts w:ascii="Times New Roman" w:hAnsi="Times New Roman"/>
      <w:sz w:val="16"/>
      <w:szCs w:val="16"/>
    </w:rPr>
  </w:style>
  <w:style w:type="character" w:customStyle="1" w:styleId="Subst">
    <w:name w:val="Subst"/>
    <w:uiPriority w:val="99"/>
    <w:rsid w:val="0017743F"/>
    <w:rPr>
      <w:b/>
      <w:bCs/>
      <w:i/>
      <w:iCs/>
    </w:rPr>
  </w:style>
  <w:style w:type="paragraph" w:styleId="a5">
    <w:name w:val="Balloon Text"/>
    <w:basedOn w:val="a"/>
    <w:link w:val="a6"/>
    <w:uiPriority w:val="99"/>
    <w:semiHidden/>
    <w:unhideWhenUsed/>
    <w:rsid w:val="00674AB8"/>
    <w:pPr>
      <w:spacing w:before="0" w:after="0"/>
    </w:pPr>
    <w:rPr>
      <w:rFonts w:ascii="Tahoma" w:hAnsi="Tahoma" w:cs="Tahoma"/>
      <w:sz w:val="16"/>
      <w:szCs w:val="16"/>
    </w:rPr>
  </w:style>
  <w:style w:type="character" w:customStyle="1" w:styleId="a6">
    <w:name w:val="Текст выноски Знак"/>
    <w:basedOn w:val="a0"/>
    <w:link w:val="a5"/>
    <w:uiPriority w:val="99"/>
    <w:semiHidden/>
    <w:rsid w:val="00674A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69</Pages>
  <Words>27279</Words>
  <Characters>155491</Characters>
  <Application>Microsoft Office Word</Application>
  <DocSecurity>0</DocSecurity>
  <Lines>1295</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dc:creator>
  <cp:keywords/>
  <dc:description/>
  <cp:lastModifiedBy>Семенов</cp:lastModifiedBy>
  <cp:revision>7</cp:revision>
  <cp:lastPrinted>2010-08-13T03:02:00Z</cp:lastPrinted>
  <dcterms:created xsi:type="dcterms:W3CDTF">2010-08-12T06:09:00Z</dcterms:created>
  <dcterms:modified xsi:type="dcterms:W3CDTF">2010-08-13T03:04:00Z</dcterms:modified>
</cp:coreProperties>
</file>